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Контпрольно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r w:rsidR="006B5024">
        <w:rPr>
          <w:rStyle w:val="4"/>
          <w:b/>
          <w:bCs/>
          <w:color w:val="000000"/>
          <w:sz w:val="24"/>
          <w:szCs w:val="24"/>
        </w:rPr>
        <w:t>Верх-</w:t>
      </w:r>
      <w:proofErr w:type="spellStart"/>
      <w:r w:rsidR="006B5024">
        <w:rPr>
          <w:rStyle w:val="4"/>
          <w:b/>
          <w:bCs/>
          <w:color w:val="000000"/>
          <w:sz w:val="24"/>
          <w:szCs w:val="24"/>
        </w:rPr>
        <w:t>Камышенского</w:t>
      </w:r>
      <w:proofErr w:type="spellEnd"/>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r w:rsidR="00077BBF">
        <w:rPr>
          <w:rStyle w:val="4"/>
          <w:b w:val="0"/>
          <w:bCs w:val="0"/>
          <w:color w:val="000000"/>
          <w:sz w:val="24"/>
          <w:szCs w:val="24"/>
        </w:rPr>
        <w:t>Верх</w:t>
      </w:r>
      <w:proofErr w:type="gramEnd"/>
      <w:r w:rsidR="00077BBF">
        <w:rPr>
          <w:rStyle w:val="4"/>
          <w:b w:val="0"/>
          <w:bCs w:val="0"/>
          <w:color w:val="000000"/>
          <w:sz w:val="24"/>
          <w:szCs w:val="24"/>
        </w:rPr>
        <w:t>-</w:t>
      </w:r>
      <w:proofErr w:type="spellStart"/>
      <w:r w:rsidR="00077BBF">
        <w:rPr>
          <w:rStyle w:val="4"/>
          <w:b w:val="0"/>
          <w:bCs w:val="0"/>
          <w:color w:val="000000"/>
          <w:sz w:val="24"/>
          <w:szCs w:val="24"/>
        </w:rPr>
        <w:t>Камышенского</w:t>
      </w:r>
      <w:proofErr w:type="spell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077BBF" w:rsidRPr="00077BBF">
        <w:rPr>
          <w:rStyle w:val="4"/>
          <w:b w:val="0"/>
          <w:bCs w:val="0"/>
          <w:color w:val="000000"/>
          <w:sz w:val="24"/>
          <w:szCs w:val="24"/>
        </w:rPr>
        <w:t xml:space="preserve">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077BBF" w:rsidRPr="00077BBF">
        <w:rPr>
          <w:rStyle w:val="4"/>
          <w:b w:val="0"/>
          <w:bCs w:val="0"/>
          <w:color w:val="000000"/>
          <w:sz w:val="24"/>
          <w:szCs w:val="24"/>
        </w:rPr>
        <w:t xml:space="preserve">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9C06C6" w:rsidRPr="009C06C6">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 xml:space="preserve">Годовой отчет об исполнении бюджета муниципального образования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077BB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r w:rsidR="00077BBF">
        <w:rPr>
          <w:rStyle w:val="4"/>
          <w:b w:val="0"/>
          <w:bCs w:val="0"/>
          <w:sz w:val="24"/>
          <w:szCs w:val="24"/>
        </w:rPr>
        <w:t>Верх-</w:t>
      </w:r>
      <w:proofErr w:type="spellStart"/>
      <w:r w:rsidR="00077BBF">
        <w:rPr>
          <w:rStyle w:val="4"/>
          <w:b w:val="0"/>
          <w:bCs w:val="0"/>
          <w:sz w:val="24"/>
          <w:szCs w:val="24"/>
        </w:rPr>
        <w:t>Камышенского</w:t>
      </w:r>
      <w:proofErr w:type="spellEnd"/>
      <w:r w:rsidR="00077BBF">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077BBF" w:rsidRPr="00077BBF">
        <w:rPr>
          <w:rStyle w:val="4"/>
          <w:b w:val="0"/>
          <w:bCs w:val="0"/>
          <w:color w:val="000000"/>
          <w:sz w:val="24"/>
          <w:szCs w:val="24"/>
        </w:rPr>
        <w:t xml:space="preserve">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2B7610" w:rsidRPr="00982888">
        <w:rPr>
          <w:rFonts w:ascii="Times New Roman" w:hAnsi="Times New Roman"/>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A54D31">
        <w:rPr>
          <w:rFonts w:ascii="Times New Roman" w:hAnsi="Times New Roman"/>
          <w:sz w:val="24"/>
          <w:szCs w:val="24"/>
        </w:rPr>
        <w:t xml:space="preserve"> Собрания </w:t>
      </w:r>
      <w:r w:rsidR="00A54D31" w:rsidRPr="00982888">
        <w:rPr>
          <w:rFonts w:ascii="Times New Roman" w:hAnsi="Times New Roman"/>
          <w:sz w:val="24"/>
          <w:szCs w:val="24"/>
        </w:rPr>
        <w:t>депутатов</w:t>
      </w:r>
      <w:r w:rsidR="00A54D31">
        <w:rPr>
          <w:rFonts w:ascii="Times New Roman" w:hAnsi="Times New Roman"/>
          <w:sz w:val="24"/>
          <w:szCs w:val="24"/>
        </w:rPr>
        <w:t xml:space="preserve"> </w:t>
      </w:r>
      <w:r w:rsidR="005E1058">
        <w:rPr>
          <w:rStyle w:val="4"/>
          <w:b w:val="0"/>
          <w:bCs w:val="0"/>
          <w:color w:val="000000"/>
          <w:sz w:val="24"/>
          <w:szCs w:val="24"/>
        </w:rPr>
        <w:t>Верх-</w:t>
      </w:r>
      <w:proofErr w:type="spellStart"/>
      <w:r w:rsidR="005E1058">
        <w:rPr>
          <w:rStyle w:val="4"/>
          <w:b w:val="0"/>
          <w:bCs w:val="0"/>
          <w:color w:val="000000"/>
          <w:sz w:val="24"/>
          <w:szCs w:val="24"/>
        </w:rPr>
        <w:t>Камышенского</w:t>
      </w:r>
      <w:proofErr w:type="spellEnd"/>
      <w:r w:rsidRPr="00982888">
        <w:rPr>
          <w:rFonts w:ascii="Times New Roman" w:hAnsi="Times New Roman"/>
          <w:sz w:val="24"/>
          <w:szCs w:val="24"/>
        </w:rPr>
        <w:t xml:space="preserve"> </w:t>
      </w:r>
      <w:r w:rsidRPr="00982888">
        <w:rPr>
          <w:rFonts w:ascii="Times New Roman" w:hAnsi="Times New Roman"/>
          <w:sz w:val="24"/>
          <w:szCs w:val="24"/>
        </w:rPr>
        <w:t xml:space="preserve">сельского Совета </w:t>
      </w:r>
      <w:proofErr w:type="spellStart"/>
      <w:r w:rsidR="00A54D31" w:rsidRPr="00982888">
        <w:rPr>
          <w:rStyle w:val="4"/>
          <w:b w:val="0"/>
          <w:bCs w:val="0"/>
          <w:color w:val="000000"/>
          <w:sz w:val="24"/>
          <w:szCs w:val="24"/>
        </w:rPr>
        <w:t>Заринского</w:t>
      </w:r>
      <w:proofErr w:type="spellEnd"/>
      <w:r w:rsidR="00A54D31" w:rsidRPr="00982888">
        <w:rPr>
          <w:rStyle w:val="4"/>
          <w:b w:val="0"/>
          <w:bCs w:val="0"/>
          <w:color w:val="000000"/>
          <w:sz w:val="24"/>
          <w:szCs w:val="24"/>
        </w:rPr>
        <w:t xml:space="preserve"> района </w:t>
      </w:r>
      <w:r w:rsidR="00A54D31"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077BBF">
        <w:rPr>
          <w:rFonts w:ascii="Times New Roman" w:hAnsi="Times New Roman"/>
          <w:sz w:val="24"/>
          <w:szCs w:val="24"/>
        </w:rPr>
        <w:t xml:space="preserve">42 </w:t>
      </w:r>
      <w:r w:rsidRPr="00982888">
        <w:rPr>
          <w:rFonts w:ascii="Times New Roman" w:hAnsi="Times New Roman"/>
          <w:sz w:val="24"/>
          <w:szCs w:val="24"/>
        </w:rPr>
        <w:t xml:space="preserve">от </w:t>
      </w:r>
      <w:r w:rsidR="00736204" w:rsidRPr="00982888">
        <w:rPr>
          <w:rFonts w:ascii="Times New Roman" w:hAnsi="Times New Roman"/>
          <w:sz w:val="24"/>
          <w:szCs w:val="24"/>
        </w:rPr>
        <w:t>2</w:t>
      </w:r>
      <w:r w:rsidR="00077BBF">
        <w:rPr>
          <w:rFonts w:ascii="Times New Roman" w:hAnsi="Times New Roman"/>
          <w:sz w:val="24"/>
          <w:szCs w:val="24"/>
        </w:rPr>
        <w:t>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077BBF">
        <w:rPr>
          <w:rFonts w:ascii="Times New Roman" w:hAnsi="Times New Roman"/>
          <w:sz w:val="24"/>
          <w:szCs w:val="24"/>
        </w:rPr>
        <w:t>4843,4</w:t>
      </w:r>
      <w:r w:rsidRPr="00982888">
        <w:rPr>
          <w:rFonts w:ascii="Times New Roman" w:hAnsi="Times New Roman"/>
          <w:sz w:val="24"/>
          <w:szCs w:val="24"/>
        </w:rPr>
        <w:t xml:space="preserve"> </w:t>
      </w:r>
      <w:proofErr w:type="spellStart"/>
      <w:proofErr w:type="gram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A54D31">
        <w:rPr>
          <w:rFonts w:ascii="Times New Roman" w:hAnsi="Times New Roman"/>
          <w:sz w:val="24"/>
          <w:szCs w:val="24"/>
        </w:rPr>
        <w:t xml:space="preserve"> .</w:t>
      </w:r>
      <w:proofErr w:type="gramEnd"/>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077BBF">
        <w:rPr>
          <w:rFonts w:ascii="Times New Roman" w:hAnsi="Times New Roman"/>
          <w:sz w:val="24"/>
          <w:szCs w:val="24"/>
        </w:rPr>
        <w:t>5</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9C06C6">
        <w:rPr>
          <w:rFonts w:ascii="Times New Roman" w:hAnsi="Times New Roman"/>
          <w:sz w:val="24"/>
          <w:szCs w:val="24"/>
        </w:rPr>
        <w:t>2</w:t>
      </w:r>
      <w:r w:rsidR="00077BBF">
        <w:rPr>
          <w:rFonts w:ascii="Times New Roman" w:hAnsi="Times New Roman"/>
          <w:sz w:val="24"/>
          <w:szCs w:val="24"/>
        </w:rPr>
        <w:t>4</w:t>
      </w:r>
      <w:r w:rsidR="000F6040" w:rsidRPr="00982888">
        <w:rPr>
          <w:rFonts w:ascii="Times New Roman" w:hAnsi="Times New Roman"/>
          <w:sz w:val="24"/>
          <w:szCs w:val="24"/>
        </w:rPr>
        <w:t xml:space="preserve">(последняя редакция) доходы утверждены в сумме </w:t>
      </w:r>
      <w:r w:rsidR="00077BBF">
        <w:rPr>
          <w:rFonts w:ascii="Times New Roman" w:hAnsi="Times New Roman"/>
          <w:sz w:val="24"/>
          <w:szCs w:val="24"/>
        </w:rPr>
        <w:t>5337,8</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825CD2">
        <w:rPr>
          <w:rFonts w:ascii="Times New Roman" w:hAnsi="Times New Roman"/>
          <w:sz w:val="24"/>
          <w:szCs w:val="24"/>
        </w:rPr>
        <w:t>5236,6</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825CD2">
        <w:rPr>
          <w:rFonts w:ascii="Times New Roman" w:hAnsi="Times New Roman"/>
          <w:sz w:val="24"/>
          <w:szCs w:val="24"/>
        </w:rPr>
        <w:t>101,2</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077BB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w:t>
      </w:r>
      <w:r w:rsidR="00BE6F4F">
        <w:rPr>
          <w:rFonts w:ascii="Times New Roman" w:hAnsi="Times New Roman"/>
          <w:sz w:val="24"/>
          <w:szCs w:val="24"/>
        </w:rPr>
        <w:t xml:space="preserve"> </w:t>
      </w:r>
      <w:proofErr w:type="gramStart"/>
      <w:r w:rsidR="00BE6F4F">
        <w:rPr>
          <w:rFonts w:ascii="Times New Roman" w:hAnsi="Times New Roman"/>
          <w:sz w:val="24"/>
          <w:szCs w:val="24"/>
        </w:rPr>
        <w:t xml:space="preserve">края </w:t>
      </w:r>
      <w:r w:rsidRPr="00982888">
        <w:rPr>
          <w:rFonts w:ascii="Times New Roman" w:hAnsi="Times New Roman"/>
          <w:sz w:val="24"/>
          <w:szCs w:val="24"/>
        </w:rPr>
        <w:t xml:space="preserve"> представлены</w:t>
      </w:r>
      <w:proofErr w:type="gramEnd"/>
      <w:r w:rsidRPr="00982888">
        <w:rPr>
          <w:rFonts w:ascii="Times New Roman" w:hAnsi="Times New Roman"/>
          <w:sz w:val="24"/>
          <w:szCs w:val="24"/>
        </w:rPr>
        <w:t xml:space="preserve">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A54D31">
        <w:rPr>
          <w:rFonts w:ascii="Times New Roman" w:hAnsi="Times New Roman"/>
          <w:sz w:val="24"/>
          <w:szCs w:val="24"/>
        </w:rPr>
        <w:t>99,7</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825CD2">
        <w:rPr>
          <w:rFonts w:ascii="Times New Roman" w:hAnsi="Times New Roman"/>
          <w:b/>
          <w:sz w:val="24"/>
          <w:szCs w:val="24"/>
        </w:rPr>
        <w:t>5324,8</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825CD2">
        <w:rPr>
          <w:rFonts w:ascii="Times New Roman" w:hAnsi="Times New Roman"/>
          <w:sz w:val="24"/>
          <w:szCs w:val="24"/>
        </w:rPr>
        <w:t>9</w:t>
      </w:r>
      <w:r w:rsidR="00A54D31">
        <w:rPr>
          <w:rFonts w:ascii="Times New Roman" w:hAnsi="Times New Roman"/>
          <w:sz w:val="24"/>
          <w:szCs w:val="24"/>
        </w:rPr>
        <w:t>6</w:t>
      </w:r>
      <w:r w:rsidR="00863082" w:rsidRPr="00982888">
        <w:rPr>
          <w:rFonts w:ascii="Times New Roman" w:hAnsi="Times New Roman"/>
          <w:sz w:val="24"/>
          <w:szCs w:val="24"/>
        </w:rPr>
        <w:t>,</w:t>
      </w:r>
      <w:r w:rsidR="00A54D31">
        <w:rPr>
          <w:rFonts w:ascii="Times New Roman" w:hAnsi="Times New Roman"/>
          <w:sz w:val="24"/>
          <w:szCs w:val="24"/>
        </w:rPr>
        <w:t>1</w:t>
      </w:r>
      <w:r w:rsidRPr="00982888">
        <w:rPr>
          <w:rFonts w:ascii="Times New Roman" w:hAnsi="Times New Roman"/>
          <w:sz w:val="24"/>
          <w:szCs w:val="24"/>
        </w:rPr>
        <w:t xml:space="preserve"> % в сумме </w:t>
      </w:r>
      <w:r w:rsidR="00825CD2">
        <w:rPr>
          <w:rFonts w:ascii="Times New Roman" w:hAnsi="Times New Roman"/>
          <w:b/>
          <w:sz w:val="24"/>
          <w:szCs w:val="24"/>
        </w:rPr>
        <w:t>5033,7</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825CD2">
        <w:rPr>
          <w:rFonts w:ascii="Times New Roman" w:hAnsi="Times New Roman"/>
          <w:b/>
          <w:sz w:val="24"/>
          <w:szCs w:val="24"/>
        </w:rPr>
        <w:t>291,</w:t>
      </w:r>
      <w:r w:rsidR="00A54D31">
        <w:rPr>
          <w:rFonts w:ascii="Times New Roman" w:hAnsi="Times New Roman"/>
          <w:b/>
          <w:sz w:val="24"/>
          <w:szCs w:val="24"/>
        </w:rPr>
        <w:t>1</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077BB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077BBF" w:rsidP="00084CCA">
            <w:pPr>
              <w:jc w:val="center"/>
              <w:rPr>
                <w:rFonts w:ascii="Times New Roman" w:hAnsi="Times New Roman"/>
                <w:b/>
                <w:sz w:val="24"/>
                <w:szCs w:val="24"/>
              </w:rPr>
            </w:pPr>
            <w:r>
              <w:rPr>
                <w:rFonts w:ascii="Times New Roman" w:hAnsi="Times New Roman"/>
                <w:b/>
                <w:sz w:val="24"/>
                <w:szCs w:val="24"/>
              </w:rPr>
              <w:t>4834,4</w:t>
            </w:r>
          </w:p>
        </w:tc>
        <w:tc>
          <w:tcPr>
            <w:tcW w:w="1613" w:type="dxa"/>
          </w:tcPr>
          <w:p w:rsidR="00766D4F" w:rsidRPr="00982888" w:rsidRDefault="00825CD2" w:rsidP="00A54D31">
            <w:pPr>
              <w:jc w:val="center"/>
              <w:rPr>
                <w:rFonts w:ascii="Times New Roman" w:hAnsi="Times New Roman"/>
                <w:b/>
                <w:sz w:val="24"/>
                <w:szCs w:val="24"/>
              </w:rPr>
            </w:pPr>
            <w:r>
              <w:rPr>
                <w:rFonts w:ascii="Times New Roman" w:hAnsi="Times New Roman"/>
                <w:b/>
                <w:sz w:val="24"/>
                <w:szCs w:val="24"/>
              </w:rPr>
              <w:t>5337,</w:t>
            </w:r>
            <w:r w:rsidR="00A54D31">
              <w:rPr>
                <w:rFonts w:ascii="Times New Roman" w:hAnsi="Times New Roman"/>
                <w:b/>
                <w:sz w:val="24"/>
                <w:szCs w:val="24"/>
              </w:rPr>
              <w:t>8</w:t>
            </w:r>
          </w:p>
        </w:tc>
        <w:tc>
          <w:tcPr>
            <w:tcW w:w="1406" w:type="dxa"/>
          </w:tcPr>
          <w:p w:rsidR="00766D4F" w:rsidRPr="00982888" w:rsidRDefault="00825CD2" w:rsidP="00084CCA">
            <w:pPr>
              <w:jc w:val="center"/>
              <w:rPr>
                <w:rFonts w:ascii="Times New Roman" w:hAnsi="Times New Roman"/>
                <w:b/>
                <w:sz w:val="24"/>
                <w:szCs w:val="24"/>
              </w:rPr>
            </w:pPr>
            <w:r>
              <w:rPr>
                <w:rFonts w:ascii="Times New Roman" w:hAnsi="Times New Roman"/>
                <w:b/>
                <w:sz w:val="24"/>
                <w:szCs w:val="24"/>
              </w:rPr>
              <w:t>5324,8</w:t>
            </w:r>
          </w:p>
        </w:tc>
        <w:tc>
          <w:tcPr>
            <w:tcW w:w="1580" w:type="dxa"/>
          </w:tcPr>
          <w:p w:rsidR="00766D4F" w:rsidRPr="00982888" w:rsidRDefault="00A54D31" w:rsidP="00A54D31">
            <w:pPr>
              <w:jc w:val="center"/>
              <w:rPr>
                <w:rFonts w:ascii="Times New Roman" w:hAnsi="Times New Roman"/>
                <w:b/>
                <w:sz w:val="24"/>
                <w:szCs w:val="24"/>
              </w:rPr>
            </w:pPr>
            <w:r>
              <w:rPr>
                <w:rFonts w:ascii="Times New Roman" w:hAnsi="Times New Roman"/>
                <w:b/>
                <w:sz w:val="24"/>
                <w:szCs w:val="24"/>
              </w:rPr>
              <w:t>-</w:t>
            </w:r>
            <w:r w:rsidR="00825CD2">
              <w:rPr>
                <w:rFonts w:ascii="Times New Roman" w:hAnsi="Times New Roman"/>
                <w:b/>
                <w:sz w:val="24"/>
                <w:szCs w:val="24"/>
              </w:rPr>
              <w:t>1</w:t>
            </w:r>
            <w:r>
              <w:rPr>
                <w:rFonts w:ascii="Times New Roman" w:hAnsi="Times New Roman"/>
                <w:b/>
                <w:sz w:val="24"/>
                <w:szCs w:val="24"/>
              </w:rPr>
              <w:t>3</w:t>
            </w:r>
            <w:r w:rsidR="00825CD2">
              <w:rPr>
                <w:rFonts w:ascii="Times New Roman" w:hAnsi="Times New Roman"/>
                <w:b/>
                <w:sz w:val="24"/>
                <w:szCs w:val="24"/>
              </w:rPr>
              <w:t>,</w:t>
            </w:r>
            <w:r>
              <w:rPr>
                <w:rFonts w:ascii="Times New Roman" w:hAnsi="Times New Roman"/>
                <w:b/>
                <w:sz w:val="24"/>
                <w:szCs w:val="24"/>
              </w:rPr>
              <w:t>0</w:t>
            </w:r>
          </w:p>
        </w:tc>
        <w:tc>
          <w:tcPr>
            <w:tcW w:w="934" w:type="dxa"/>
          </w:tcPr>
          <w:p w:rsidR="00766D4F" w:rsidRPr="00982888" w:rsidRDefault="00E54E37" w:rsidP="00896CD4">
            <w:pPr>
              <w:jc w:val="center"/>
              <w:rPr>
                <w:rFonts w:ascii="Times New Roman" w:hAnsi="Times New Roman"/>
                <w:b/>
                <w:sz w:val="24"/>
                <w:szCs w:val="24"/>
              </w:rPr>
            </w:pPr>
            <w:r>
              <w:rPr>
                <w:rFonts w:ascii="Times New Roman" w:hAnsi="Times New Roman"/>
                <w:b/>
                <w:sz w:val="24"/>
                <w:szCs w:val="24"/>
              </w:rPr>
              <w:t>99,7</w:t>
            </w:r>
          </w:p>
        </w:tc>
      </w:tr>
      <w:tr w:rsidR="00766D4F" w:rsidRPr="00982888" w:rsidTr="0046549F">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077BBF" w:rsidP="00084CCA">
            <w:pPr>
              <w:jc w:val="center"/>
              <w:rPr>
                <w:rFonts w:ascii="Times New Roman" w:hAnsi="Times New Roman"/>
                <w:b/>
                <w:sz w:val="24"/>
                <w:szCs w:val="24"/>
              </w:rPr>
            </w:pPr>
            <w:r>
              <w:rPr>
                <w:rFonts w:ascii="Times New Roman" w:hAnsi="Times New Roman"/>
                <w:b/>
                <w:sz w:val="24"/>
                <w:szCs w:val="24"/>
              </w:rPr>
              <w:t>4834,4</w:t>
            </w:r>
          </w:p>
        </w:tc>
        <w:tc>
          <w:tcPr>
            <w:tcW w:w="1613" w:type="dxa"/>
          </w:tcPr>
          <w:p w:rsidR="00766D4F" w:rsidRPr="00982888" w:rsidRDefault="00825CD2" w:rsidP="00A54D31">
            <w:pPr>
              <w:jc w:val="center"/>
              <w:rPr>
                <w:rFonts w:ascii="Times New Roman" w:hAnsi="Times New Roman"/>
                <w:b/>
                <w:sz w:val="24"/>
                <w:szCs w:val="24"/>
              </w:rPr>
            </w:pPr>
            <w:r>
              <w:rPr>
                <w:rFonts w:ascii="Times New Roman" w:hAnsi="Times New Roman"/>
                <w:b/>
                <w:sz w:val="24"/>
                <w:szCs w:val="24"/>
              </w:rPr>
              <w:t>5236,</w:t>
            </w:r>
            <w:r w:rsidR="00A54D31">
              <w:rPr>
                <w:rFonts w:ascii="Times New Roman" w:hAnsi="Times New Roman"/>
                <w:b/>
                <w:sz w:val="24"/>
                <w:szCs w:val="24"/>
              </w:rPr>
              <w:t>6</w:t>
            </w:r>
          </w:p>
        </w:tc>
        <w:tc>
          <w:tcPr>
            <w:tcW w:w="1406" w:type="dxa"/>
          </w:tcPr>
          <w:p w:rsidR="00766D4F" w:rsidRPr="00982888" w:rsidRDefault="00825CD2" w:rsidP="00A54D31">
            <w:pPr>
              <w:jc w:val="center"/>
              <w:rPr>
                <w:rFonts w:ascii="Times New Roman" w:hAnsi="Times New Roman"/>
                <w:b/>
                <w:sz w:val="24"/>
                <w:szCs w:val="24"/>
              </w:rPr>
            </w:pPr>
            <w:r>
              <w:rPr>
                <w:rFonts w:ascii="Times New Roman" w:hAnsi="Times New Roman"/>
                <w:b/>
                <w:sz w:val="24"/>
                <w:szCs w:val="24"/>
              </w:rPr>
              <w:t>5033,</w:t>
            </w:r>
            <w:r w:rsidR="00A54D31">
              <w:rPr>
                <w:rFonts w:ascii="Times New Roman" w:hAnsi="Times New Roman"/>
                <w:b/>
                <w:sz w:val="24"/>
                <w:szCs w:val="24"/>
              </w:rPr>
              <w:t>7</w:t>
            </w:r>
          </w:p>
        </w:tc>
        <w:tc>
          <w:tcPr>
            <w:tcW w:w="1580" w:type="dxa"/>
          </w:tcPr>
          <w:p w:rsidR="00766D4F" w:rsidRPr="00982888" w:rsidRDefault="00A54D31" w:rsidP="00896CD4">
            <w:pPr>
              <w:jc w:val="center"/>
              <w:rPr>
                <w:rFonts w:ascii="Times New Roman" w:hAnsi="Times New Roman"/>
                <w:b/>
                <w:sz w:val="24"/>
                <w:szCs w:val="24"/>
              </w:rPr>
            </w:pPr>
            <w:r>
              <w:rPr>
                <w:rFonts w:ascii="Times New Roman" w:hAnsi="Times New Roman"/>
                <w:b/>
                <w:sz w:val="24"/>
                <w:szCs w:val="24"/>
              </w:rPr>
              <w:t>-</w:t>
            </w:r>
            <w:r w:rsidR="00825CD2">
              <w:rPr>
                <w:rFonts w:ascii="Times New Roman" w:hAnsi="Times New Roman"/>
                <w:b/>
                <w:sz w:val="24"/>
                <w:szCs w:val="24"/>
              </w:rPr>
              <w:t>202,9</w:t>
            </w:r>
          </w:p>
        </w:tc>
        <w:tc>
          <w:tcPr>
            <w:tcW w:w="934" w:type="dxa"/>
          </w:tcPr>
          <w:p w:rsidR="00766D4F" w:rsidRPr="00982888" w:rsidRDefault="00E54E37" w:rsidP="00084CCA">
            <w:pPr>
              <w:jc w:val="center"/>
              <w:rPr>
                <w:rFonts w:ascii="Times New Roman" w:hAnsi="Times New Roman"/>
                <w:b/>
                <w:sz w:val="24"/>
                <w:szCs w:val="24"/>
              </w:rPr>
            </w:pPr>
            <w:r>
              <w:rPr>
                <w:rFonts w:ascii="Times New Roman" w:hAnsi="Times New Roman"/>
                <w:b/>
                <w:sz w:val="24"/>
                <w:szCs w:val="24"/>
              </w:rPr>
              <w:t>96,1</w:t>
            </w:r>
          </w:p>
        </w:tc>
      </w:tr>
      <w:tr w:rsidR="00766D4F" w:rsidRPr="00982888" w:rsidTr="0046549F">
        <w:tc>
          <w:tcPr>
            <w:tcW w:w="2072" w:type="dxa"/>
          </w:tcPr>
          <w:p w:rsidR="00766D4F" w:rsidRPr="00A54D31" w:rsidRDefault="00766D4F" w:rsidP="00A7592C">
            <w:pPr>
              <w:spacing w:line="240" w:lineRule="auto"/>
              <w:rPr>
                <w:rFonts w:ascii="Times New Roman" w:hAnsi="Times New Roman"/>
                <w:b/>
              </w:rPr>
            </w:pPr>
            <w:r w:rsidRPr="00A54D31">
              <w:rPr>
                <w:rFonts w:ascii="Times New Roman" w:hAnsi="Times New Roman"/>
                <w:b/>
              </w:rPr>
              <w:t>Дефицит</w:t>
            </w:r>
            <w:r w:rsidR="00A54D31" w:rsidRPr="00A54D31">
              <w:rPr>
                <w:rFonts w:ascii="Times New Roman" w:hAnsi="Times New Roman"/>
                <w:b/>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A54D31" w:rsidP="00407B48">
            <w:pPr>
              <w:jc w:val="center"/>
              <w:rPr>
                <w:rFonts w:ascii="Times New Roman" w:hAnsi="Times New Roman"/>
                <w:b/>
                <w:sz w:val="24"/>
                <w:szCs w:val="24"/>
              </w:rPr>
            </w:pPr>
            <w:r>
              <w:rPr>
                <w:rFonts w:ascii="Times New Roman" w:hAnsi="Times New Roman"/>
                <w:b/>
                <w:sz w:val="24"/>
                <w:szCs w:val="24"/>
              </w:rPr>
              <w:t>+</w:t>
            </w:r>
            <w:r w:rsidR="00825CD2">
              <w:rPr>
                <w:rFonts w:ascii="Times New Roman" w:hAnsi="Times New Roman"/>
                <w:b/>
                <w:sz w:val="24"/>
                <w:szCs w:val="24"/>
              </w:rPr>
              <w:t>101,2</w:t>
            </w:r>
          </w:p>
        </w:tc>
        <w:tc>
          <w:tcPr>
            <w:tcW w:w="1406" w:type="dxa"/>
          </w:tcPr>
          <w:p w:rsidR="00766D4F" w:rsidRPr="00982888" w:rsidRDefault="00E54E37" w:rsidP="00A54D31">
            <w:pPr>
              <w:jc w:val="center"/>
              <w:rPr>
                <w:rFonts w:ascii="Times New Roman" w:hAnsi="Times New Roman"/>
                <w:b/>
                <w:sz w:val="24"/>
                <w:szCs w:val="24"/>
              </w:rPr>
            </w:pPr>
            <w:r>
              <w:rPr>
                <w:rFonts w:ascii="Times New Roman" w:hAnsi="Times New Roman"/>
                <w:b/>
                <w:sz w:val="24"/>
                <w:szCs w:val="24"/>
              </w:rPr>
              <w:t>+</w:t>
            </w:r>
            <w:r w:rsidR="00825CD2">
              <w:rPr>
                <w:rFonts w:ascii="Times New Roman" w:hAnsi="Times New Roman"/>
                <w:b/>
                <w:sz w:val="24"/>
                <w:szCs w:val="24"/>
              </w:rPr>
              <w:t>291,</w:t>
            </w:r>
            <w:r w:rsidR="00A54D31">
              <w:rPr>
                <w:rFonts w:ascii="Times New Roman" w:hAnsi="Times New Roman"/>
                <w:b/>
                <w:sz w:val="24"/>
                <w:szCs w:val="24"/>
              </w:rPr>
              <w:t>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46549F">
        <w:tc>
          <w:tcPr>
            <w:tcW w:w="2072" w:type="dxa"/>
          </w:tcPr>
          <w:p w:rsidR="00766D4F" w:rsidRPr="00982888" w:rsidRDefault="00766D4F" w:rsidP="00A54D31">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E54E37" w:rsidP="00A54D31">
            <w:pPr>
              <w:jc w:val="center"/>
              <w:rPr>
                <w:rFonts w:ascii="Times New Roman" w:hAnsi="Times New Roman"/>
                <w:b/>
                <w:sz w:val="24"/>
                <w:szCs w:val="24"/>
              </w:rPr>
            </w:pPr>
            <w:r>
              <w:rPr>
                <w:rFonts w:ascii="Times New Roman" w:hAnsi="Times New Roman"/>
                <w:b/>
                <w:sz w:val="24"/>
                <w:szCs w:val="24"/>
              </w:rPr>
              <w:t>+291,</w:t>
            </w:r>
            <w:r w:rsidR="00A54D31">
              <w:rPr>
                <w:rFonts w:ascii="Times New Roman" w:hAnsi="Times New Roman"/>
                <w:b/>
                <w:sz w:val="24"/>
                <w:szCs w:val="24"/>
              </w:rPr>
              <w:t>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Pr>
          <w:rFonts w:ascii="Times New Roman" w:hAnsi="Times New Roman"/>
          <w:sz w:val="24"/>
          <w:szCs w:val="24"/>
        </w:rPr>
        <w:t>8</w:t>
      </w:r>
      <w:r w:rsidR="00A54D31">
        <w:rPr>
          <w:rFonts w:ascii="Times New Roman" w:hAnsi="Times New Roman"/>
          <w:sz w:val="24"/>
          <w:szCs w:val="24"/>
        </w:rPr>
        <w:t>0</w:t>
      </w:r>
      <w:r>
        <w:rPr>
          <w:rFonts w:ascii="Times New Roman" w:hAnsi="Times New Roman"/>
          <w:sz w:val="24"/>
          <w:szCs w:val="24"/>
        </w:rPr>
        <w:t>,</w:t>
      </w:r>
      <w:r w:rsidR="00A54D31">
        <w:rPr>
          <w:rFonts w:ascii="Times New Roman" w:hAnsi="Times New Roman"/>
          <w:sz w:val="24"/>
          <w:szCs w:val="24"/>
        </w:rPr>
        <w:t>7</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E54E37">
        <w:rPr>
          <w:rFonts w:ascii="Times New Roman" w:hAnsi="Times New Roman"/>
          <w:sz w:val="24"/>
          <w:szCs w:val="24"/>
        </w:rPr>
        <w:t>19</w:t>
      </w:r>
      <w:r w:rsidRPr="00982888">
        <w:rPr>
          <w:rFonts w:ascii="Times New Roman" w:hAnsi="Times New Roman"/>
          <w:sz w:val="24"/>
          <w:szCs w:val="24"/>
        </w:rPr>
        <w:t>,</w:t>
      </w:r>
      <w:r w:rsidR="00E54E37">
        <w:rPr>
          <w:rFonts w:ascii="Times New Roman" w:hAnsi="Times New Roman"/>
          <w:sz w:val="24"/>
          <w:szCs w:val="24"/>
        </w:rPr>
        <w:t xml:space="preserve">2 </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E54E37">
        <w:rPr>
          <w:rFonts w:ascii="Times New Roman" w:hAnsi="Times New Roman"/>
          <w:sz w:val="24"/>
          <w:szCs w:val="24"/>
        </w:rPr>
        <w:t>1025,3</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46549F">
        <w:rPr>
          <w:rFonts w:ascii="Times New Roman" w:hAnsi="Times New Roman"/>
          <w:sz w:val="24"/>
          <w:szCs w:val="24"/>
        </w:rPr>
        <w:t>987</w:t>
      </w:r>
      <w:r w:rsidR="00E54E37">
        <w:rPr>
          <w:rFonts w:ascii="Times New Roman" w:hAnsi="Times New Roman"/>
          <w:sz w:val="24"/>
          <w:szCs w:val="24"/>
        </w:rPr>
        <w:t>,0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E54E37">
        <w:rPr>
          <w:rFonts w:ascii="Times New Roman" w:hAnsi="Times New Roman"/>
          <w:sz w:val="24"/>
          <w:szCs w:val="24"/>
        </w:rPr>
        <w:t>1</w:t>
      </w:r>
      <w:r w:rsidR="0046549F">
        <w:rPr>
          <w:rFonts w:ascii="Times New Roman" w:hAnsi="Times New Roman"/>
          <w:sz w:val="24"/>
          <w:szCs w:val="24"/>
        </w:rPr>
        <w:t>03</w:t>
      </w:r>
      <w:r w:rsidR="00E54E37">
        <w:rPr>
          <w:rFonts w:ascii="Times New Roman" w:hAnsi="Times New Roman"/>
          <w:sz w:val="24"/>
          <w:szCs w:val="24"/>
        </w:rPr>
        <w:t>,</w:t>
      </w:r>
      <w:r w:rsidR="0046549F">
        <w:rPr>
          <w:rFonts w:ascii="Times New Roman" w:hAnsi="Times New Roman"/>
          <w:sz w:val="24"/>
          <w:szCs w:val="24"/>
        </w:rPr>
        <w:t>8</w:t>
      </w:r>
      <w:r w:rsidR="00E54E37">
        <w:rPr>
          <w:rFonts w:ascii="Times New Roman" w:hAnsi="Times New Roman"/>
          <w:sz w:val="24"/>
          <w:szCs w:val="24"/>
        </w:rPr>
        <w:t>%</w:t>
      </w:r>
      <w:r w:rsidRPr="00982888">
        <w:rPr>
          <w:rFonts w:ascii="Times New Roman" w:hAnsi="Times New Roman"/>
          <w:sz w:val="24"/>
          <w:szCs w:val="24"/>
        </w:rPr>
        <w:t xml:space="preserve">. Основной источник налоговых поступлений – налог на имущество – </w:t>
      </w:r>
      <w:r w:rsidR="0046549F">
        <w:rPr>
          <w:rFonts w:ascii="Times New Roman" w:hAnsi="Times New Roman"/>
          <w:sz w:val="24"/>
          <w:szCs w:val="24"/>
        </w:rPr>
        <w:t>606,1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46549F">
        <w:rPr>
          <w:rFonts w:ascii="Times New Roman" w:hAnsi="Times New Roman"/>
          <w:sz w:val="24"/>
          <w:szCs w:val="24"/>
        </w:rPr>
        <w:t>584,8</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46549F">
        <w:rPr>
          <w:rFonts w:ascii="Times New Roman" w:hAnsi="Times New Roman"/>
          <w:sz w:val="24"/>
          <w:szCs w:val="24"/>
        </w:rPr>
        <w:t>21,2</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46549F">
        <w:rPr>
          <w:rFonts w:ascii="Times New Roman" w:hAnsi="Times New Roman"/>
          <w:sz w:val="24"/>
          <w:szCs w:val="24"/>
        </w:rPr>
        <w:t>4299,4</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46549F">
        <w:rPr>
          <w:rFonts w:ascii="Times New Roman" w:hAnsi="Times New Roman"/>
          <w:sz w:val="24"/>
          <w:szCs w:val="24"/>
        </w:rPr>
        <w:t>4350,7</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w:t>
      </w:r>
      <w:r w:rsidR="0046549F">
        <w:rPr>
          <w:rFonts w:ascii="Times New Roman" w:hAnsi="Times New Roman"/>
          <w:sz w:val="24"/>
          <w:szCs w:val="24"/>
        </w:rPr>
        <w:t>98,8</w:t>
      </w:r>
      <w:r w:rsidRPr="00982888">
        <w:rPr>
          <w:rFonts w:ascii="Times New Roman" w:hAnsi="Times New Roman"/>
          <w:sz w:val="24"/>
          <w:szCs w:val="24"/>
        </w:rPr>
        <w:t xml:space="preserve">%.  </w:t>
      </w:r>
    </w:p>
    <w:p w:rsidR="00EC285F" w:rsidRPr="00982888" w:rsidRDefault="00EC285F" w:rsidP="006B5024">
      <w:pPr>
        <w:suppressAutoHyphens/>
        <w:jc w:val="both"/>
        <w:rPr>
          <w:rFonts w:ascii="Times New Roman" w:hAnsi="Times New Roman"/>
          <w:sz w:val="24"/>
          <w:szCs w:val="24"/>
        </w:rPr>
      </w:pPr>
      <w:r w:rsidRPr="00E749FB">
        <w:rPr>
          <w:rFonts w:ascii="Times New Roman" w:hAnsi="Times New Roman"/>
        </w:rPr>
        <w:t xml:space="preserve">Дотации </w:t>
      </w:r>
      <w:r w:rsidR="006B5024">
        <w:rPr>
          <w:rFonts w:ascii="Times New Roman" w:hAnsi="Times New Roman"/>
        </w:rPr>
        <w:t xml:space="preserve">бюджетам на поддержку мер по обеспечению сбалансированности бюджетов </w:t>
      </w:r>
      <w:r w:rsidRPr="00E749FB">
        <w:rPr>
          <w:rFonts w:ascii="Times New Roman" w:hAnsi="Times New Roman"/>
        </w:rPr>
        <w:t xml:space="preserve">поступили в сумме </w:t>
      </w:r>
      <w:proofErr w:type="gramStart"/>
      <w:r w:rsidR="006B5024">
        <w:rPr>
          <w:rFonts w:ascii="Times New Roman" w:hAnsi="Times New Roman"/>
          <w:b/>
          <w:color w:val="000000"/>
        </w:rPr>
        <w:t>937,</w:t>
      </w:r>
      <w:r w:rsidRPr="00E749FB">
        <w:rPr>
          <w:rFonts w:ascii="Times New Roman" w:hAnsi="Times New Roman"/>
        </w:rPr>
        <w:t>тыс.руб.</w:t>
      </w:r>
      <w:proofErr w:type="gramEnd"/>
      <w:r w:rsidRPr="00E749FB">
        <w:rPr>
          <w:rFonts w:ascii="Times New Roman" w:hAnsi="Times New Roman"/>
        </w:rPr>
        <w:t>, субвенции</w:t>
      </w:r>
      <w:r w:rsidR="006B5024">
        <w:rPr>
          <w:rFonts w:ascii="Times New Roman" w:hAnsi="Times New Roman"/>
        </w:rPr>
        <w:t xml:space="preserve"> бюджетам </w:t>
      </w:r>
      <w:r w:rsidRPr="00E749FB">
        <w:rPr>
          <w:rFonts w:ascii="Times New Roman" w:hAnsi="Times New Roman"/>
        </w:rPr>
        <w:t xml:space="preserve"> –</w:t>
      </w:r>
      <w:r w:rsidR="006B5024">
        <w:rPr>
          <w:rFonts w:ascii="Times New Roman" w:hAnsi="Times New Roman"/>
        </w:rPr>
        <w:t>95,</w:t>
      </w:r>
      <w:r w:rsidR="00C45993">
        <w:rPr>
          <w:rFonts w:ascii="Times New Roman" w:hAnsi="Times New Roman"/>
        </w:rPr>
        <w:t>3</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B5024">
        <w:rPr>
          <w:rFonts w:ascii="Times New Roman" w:hAnsi="Times New Roman"/>
        </w:rPr>
        <w:t xml:space="preserve">в </w:t>
      </w:r>
      <w:proofErr w:type="spellStart"/>
      <w:r w:rsidR="006B5024">
        <w:rPr>
          <w:rFonts w:ascii="Times New Roman" w:hAnsi="Times New Roman"/>
        </w:rPr>
        <w:t>т.ч.</w:t>
      </w:r>
      <w:r w:rsidRPr="00E749FB">
        <w:rPr>
          <w:rFonts w:ascii="Times New Roman" w:hAnsi="Times New Roman"/>
        </w:rPr>
        <w:t>субвенция</w:t>
      </w:r>
      <w:proofErr w:type="spellEnd"/>
      <w:r w:rsidRPr="00E749FB">
        <w:rPr>
          <w:rFonts w:ascii="Times New Roman" w:hAnsi="Times New Roman"/>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6B5024">
        <w:rPr>
          <w:rFonts w:ascii="Times New Roman" w:hAnsi="Times New Roman"/>
        </w:rPr>
        <w:t>86,</w:t>
      </w:r>
      <w:r w:rsidR="00C45993">
        <w:rPr>
          <w:rFonts w:ascii="Times New Roman" w:hAnsi="Times New Roman"/>
        </w:rPr>
        <w:t>1</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B5024">
        <w:rPr>
          <w:rFonts w:ascii="Times New Roman" w:hAnsi="Times New Roman"/>
        </w:rPr>
        <w:t>9,2</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6B5024">
        <w:rPr>
          <w:rFonts w:ascii="Times New Roman" w:hAnsi="Times New Roman"/>
        </w:rPr>
        <w:t>2830,2</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xml:space="preserve">. на организацию электро-, тепло-, газо- и водоснабжения населения – </w:t>
      </w:r>
      <w:r w:rsidR="006B5024">
        <w:rPr>
          <w:rFonts w:ascii="Times New Roman" w:hAnsi="Times New Roman"/>
        </w:rPr>
        <w:t>32</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w:t>
      </w:r>
      <w:r w:rsidR="006B5024">
        <w:rPr>
          <w:rFonts w:ascii="Times New Roman" w:hAnsi="Times New Roman"/>
        </w:rPr>
        <w:t>413,0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1,0 </w:t>
      </w:r>
      <w:proofErr w:type="spellStart"/>
      <w:r w:rsidRPr="00E749FB">
        <w:rPr>
          <w:rFonts w:ascii="Times New Roman" w:hAnsi="Times New Roman"/>
        </w:rPr>
        <w:t>тыс.руб</w:t>
      </w:r>
      <w:proofErr w:type="spellEnd"/>
      <w:r w:rsidRPr="00E749FB">
        <w:rPr>
          <w:rFonts w:ascii="Times New Roman" w:hAnsi="Times New Roman"/>
        </w:rPr>
        <w:t>.</w:t>
      </w:r>
      <w:r w:rsidR="00E749FB" w:rsidRPr="00E749FB">
        <w:rPr>
          <w:rFonts w:ascii="Times New Roman" w:hAnsi="Times New Roman"/>
        </w:rPr>
        <w:t xml:space="preserve"> </w:t>
      </w:r>
      <w:r w:rsidR="00E749FB">
        <w:rPr>
          <w:rFonts w:ascii="Times New Roman" w:hAnsi="Times New Roman"/>
        </w:rPr>
        <w:t>,</w:t>
      </w:r>
      <w:r w:rsidR="00C45993">
        <w:rPr>
          <w:rFonts w:ascii="Times New Roman" w:hAnsi="Times New Roman"/>
        </w:rPr>
        <w:t>на ремонт памятников -2,0 тыс.</w:t>
      </w:r>
      <w:proofErr w:type="spellStart"/>
      <w:r w:rsidR="00C45993">
        <w:rPr>
          <w:rFonts w:ascii="Times New Roman" w:hAnsi="Times New Roman"/>
        </w:rPr>
        <w:t>руб</w:t>
      </w:r>
      <w:proofErr w:type="spellEnd"/>
      <w:r w:rsidR="00C45993">
        <w:rPr>
          <w:rFonts w:ascii="Times New Roman" w:hAnsi="Times New Roman"/>
        </w:rPr>
        <w:t xml:space="preserve">.,субсидия на ремонт автомобильных дорог общего пользования местного значения – 1793,0 </w:t>
      </w:r>
      <w:proofErr w:type="spellStart"/>
      <w:r w:rsidR="00C45993">
        <w:rPr>
          <w:rFonts w:ascii="Times New Roman" w:hAnsi="Times New Roman"/>
        </w:rPr>
        <w:t>тыс.руб</w:t>
      </w:r>
      <w:proofErr w:type="spellEnd"/>
      <w:r w:rsidR="00C45993">
        <w:rPr>
          <w:rFonts w:ascii="Times New Roman" w:hAnsi="Times New Roman"/>
        </w:rPr>
        <w:t xml:space="preserve">, </w:t>
      </w:r>
      <w:r w:rsidR="00E749FB">
        <w:rPr>
          <w:rFonts w:ascii="Times New Roman" w:hAnsi="Times New Roman"/>
        </w:rPr>
        <w:t xml:space="preserve">в связи с передачей </w:t>
      </w:r>
      <w:r w:rsidR="00E749FB" w:rsidRPr="00E749FB">
        <w:rPr>
          <w:rFonts w:ascii="Times New Roman" w:hAnsi="Times New Roman"/>
        </w:rPr>
        <w:t xml:space="preserve"> части полномочий по решению вопросов местного значения </w:t>
      </w:r>
      <w:proofErr w:type="spellStart"/>
      <w:r w:rsidR="00E749FB" w:rsidRPr="00E749FB">
        <w:rPr>
          <w:rFonts w:ascii="Times New Roman" w:hAnsi="Times New Roman"/>
        </w:rPr>
        <w:t>Заринского</w:t>
      </w:r>
      <w:proofErr w:type="spellEnd"/>
      <w:r w:rsidR="00E749FB" w:rsidRPr="00E749FB">
        <w:rPr>
          <w:rFonts w:ascii="Times New Roman" w:hAnsi="Times New Roman"/>
        </w:rPr>
        <w:t xml:space="preserve"> района, передаваемых Администрацией </w:t>
      </w:r>
      <w:proofErr w:type="spellStart"/>
      <w:r w:rsidR="00E749FB" w:rsidRPr="00E749FB">
        <w:rPr>
          <w:rFonts w:ascii="Times New Roman" w:hAnsi="Times New Roman"/>
        </w:rPr>
        <w:t>Заринского</w:t>
      </w:r>
      <w:proofErr w:type="spellEnd"/>
      <w:r w:rsidR="00E749FB" w:rsidRPr="00E749FB">
        <w:rPr>
          <w:rFonts w:ascii="Times New Roman" w:hAnsi="Times New Roman"/>
        </w:rPr>
        <w:t xml:space="preserve"> района Администрациям сельсоветов </w:t>
      </w:r>
      <w:proofErr w:type="spellStart"/>
      <w:r w:rsidR="00E749FB" w:rsidRPr="00E749FB">
        <w:rPr>
          <w:rFonts w:ascii="Times New Roman" w:hAnsi="Times New Roman"/>
        </w:rPr>
        <w:t>Заринского</w:t>
      </w:r>
      <w:proofErr w:type="spellEnd"/>
      <w:r w:rsidR="00E749FB" w:rsidRPr="00E749FB">
        <w:rPr>
          <w:rFonts w:ascii="Times New Roman" w:hAnsi="Times New Roman"/>
        </w:rPr>
        <w:t xml:space="preserve"> района Алтайского края </w:t>
      </w:r>
      <w:r w:rsidR="00E749FB">
        <w:rPr>
          <w:rFonts w:ascii="Times New Roman" w:hAnsi="Times New Roman"/>
        </w:rPr>
        <w:t>у</w:t>
      </w:r>
      <w:r w:rsidR="00E749FB" w:rsidRPr="00E749FB">
        <w:rPr>
          <w:rFonts w:ascii="Times New Roman" w:hAnsi="Times New Roman"/>
        </w:rPr>
        <w:t>тверждение правил землепользования и застройки,  внесение изменений вправила землепользования и застройки (описание и внесения сведений в Единый государственный реестр недвижимости территориальных зон в границах  населенного пункта)</w:t>
      </w:r>
      <w:r w:rsidR="00C45993">
        <w:rPr>
          <w:rFonts w:ascii="Times New Roman" w:hAnsi="Times New Roman"/>
        </w:rPr>
        <w:t xml:space="preserve"> - </w:t>
      </w:r>
      <w:r w:rsidR="00E749FB">
        <w:rPr>
          <w:rFonts w:ascii="Times New Roman" w:hAnsi="Times New Roman"/>
        </w:rPr>
        <w:t xml:space="preserve"> </w:t>
      </w:r>
      <w:r w:rsidR="006B5024">
        <w:rPr>
          <w:rFonts w:ascii="Times New Roman" w:hAnsi="Times New Roman"/>
        </w:rPr>
        <w:t>3</w:t>
      </w:r>
      <w:r w:rsidR="00E749FB">
        <w:rPr>
          <w:rFonts w:ascii="Times New Roman" w:hAnsi="Times New Roman"/>
        </w:rPr>
        <w:t xml:space="preserve">0 </w:t>
      </w:r>
      <w:proofErr w:type="spellStart"/>
      <w:r w:rsidR="00E749FB">
        <w:rPr>
          <w:rFonts w:ascii="Times New Roman" w:hAnsi="Times New Roman"/>
        </w:rPr>
        <w:t>тыс.руб</w:t>
      </w:r>
      <w:proofErr w:type="spellEnd"/>
      <w:r w:rsidR="00E749FB">
        <w:rPr>
          <w:rFonts w:ascii="Times New Roman" w:hAnsi="Times New Roman"/>
        </w:rPr>
        <w:t>.</w:t>
      </w:r>
      <w:r w:rsidR="006B5024">
        <w:rPr>
          <w:rFonts w:ascii="Times New Roman" w:hAnsi="Times New Roman"/>
        </w:rPr>
        <w:t xml:space="preserve">, безвозмездные поступления от негосударственных организаций 24,8 </w:t>
      </w:r>
      <w:proofErr w:type="spellStart"/>
      <w:r w:rsidR="006B5024">
        <w:rPr>
          <w:rFonts w:ascii="Times New Roman" w:hAnsi="Times New Roman"/>
        </w:rPr>
        <w:t>тыс.руб</w:t>
      </w:r>
      <w:proofErr w:type="spellEnd"/>
      <w:r w:rsidR="006B5024">
        <w:rPr>
          <w:rFonts w:ascii="Times New Roman" w:hAnsi="Times New Roman"/>
        </w:rPr>
        <w:t>.</w:t>
      </w:r>
      <w:r w:rsidR="00E749FB" w:rsidRPr="00E749FB">
        <w:rPr>
          <w:rFonts w:ascii="Times New Roman" w:hAnsi="Times New Roman"/>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6B5024">
        <w:rPr>
          <w:rFonts w:ascii="Times New Roman" w:hAnsi="Times New Roman"/>
          <w:sz w:val="24"/>
          <w:szCs w:val="24"/>
        </w:rPr>
        <w:t>2</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6B5024">
        <w:rPr>
          <w:rFonts w:ascii="Times New Roman" w:hAnsi="Times New Roman"/>
          <w:sz w:val="24"/>
          <w:szCs w:val="24"/>
        </w:rPr>
        <w:t>5033,</w:t>
      </w:r>
      <w:r w:rsidR="00C45993">
        <w:rPr>
          <w:rFonts w:ascii="Times New Roman" w:hAnsi="Times New Roman"/>
          <w:sz w:val="24"/>
          <w:szCs w:val="24"/>
        </w:rPr>
        <w:t>7</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6B5024">
        <w:rPr>
          <w:rFonts w:ascii="Times New Roman" w:hAnsi="Times New Roman"/>
          <w:sz w:val="24"/>
          <w:szCs w:val="24"/>
        </w:rPr>
        <w:t xml:space="preserve">5236,5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6B5024">
        <w:rPr>
          <w:rFonts w:ascii="Times New Roman" w:hAnsi="Times New Roman"/>
          <w:sz w:val="24"/>
          <w:szCs w:val="24"/>
        </w:rPr>
        <w:t>6</w:t>
      </w:r>
      <w:r w:rsidRPr="00982888">
        <w:rPr>
          <w:rFonts w:ascii="Times New Roman" w:hAnsi="Times New Roman"/>
          <w:sz w:val="24"/>
          <w:szCs w:val="24"/>
        </w:rPr>
        <w:t>,</w:t>
      </w:r>
      <w:r w:rsidR="006B5024">
        <w:rPr>
          <w:rFonts w:ascii="Times New Roman" w:hAnsi="Times New Roman"/>
          <w:sz w:val="24"/>
          <w:szCs w:val="24"/>
        </w:rPr>
        <w:t>1</w:t>
      </w:r>
      <w:r w:rsidRPr="00982888">
        <w:rPr>
          <w:rFonts w:ascii="Times New Roman" w:hAnsi="Times New Roman"/>
          <w:sz w:val="24"/>
          <w:szCs w:val="24"/>
        </w:rPr>
        <w:t xml:space="preserve"> </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 xml:space="preserve">году занимают расходы в области культуры и кинематографии – </w:t>
      </w:r>
      <w:r w:rsidR="006B5024" w:rsidRPr="006B5024">
        <w:rPr>
          <w:rFonts w:ascii="Times New Roman" w:hAnsi="Times New Roman"/>
          <w:sz w:val="24"/>
          <w:szCs w:val="24"/>
        </w:rPr>
        <w:t>1148,8</w:t>
      </w:r>
      <w:r w:rsidR="00C45993">
        <w:rPr>
          <w:rFonts w:ascii="Times New Roman" w:hAnsi="Times New Roman"/>
          <w:sz w:val="24"/>
          <w:szCs w:val="24"/>
        </w:rPr>
        <w:t xml:space="preserve"> </w:t>
      </w:r>
      <w:proofErr w:type="spellStart"/>
      <w:proofErr w:type="gramStart"/>
      <w:r w:rsidR="006B5024" w:rsidRPr="006B5024">
        <w:rPr>
          <w:rFonts w:ascii="Times New Roman" w:hAnsi="Times New Roman"/>
          <w:sz w:val="24"/>
          <w:szCs w:val="24"/>
        </w:rPr>
        <w:t>тыс.руб</w:t>
      </w:r>
      <w:proofErr w:type="spellEnd"/>
      <w:proofErr w:type="gramEnd"/>
      <w:r w:rsidR="006B5024">
        <w:rPr>
          <w:rFonts w:ascii="Times New Roman" w:hAnsi="Times New Roman"/>
          <w:b/>
          <w:sz w:val="24"/>
          <w:szCs w:val="24"/>
        </w:rPr>
        <w:t xml:space="preserve"> </w:t>
      </w:r>
      <w:r w:rsidR="006B5024">
        <w:rPr>
          <w:rFonts w:ascii="Times New Roman" w:hAnsi="Times New Roman"/>
          <w:sz w:val="24"/>
          <w:szCs w:val="24"/>
        </w:rPr>
        <w:t xml:space="preserve">и составляют 22,8 </w:t>
      </w:r>
      <w:r w:rsidRPr="00982888">
        <w:rPr>
          <w:rFonts w:ascii="Times New Roman" w:hAnsi="Times New Roman"/>
          <w:sz w:val="24"/>
          <w:szCs w:val="24"/>
        </w:rPr>
        <w:t xml:space="preserve">%, национальная экономика </w:t>
      </w:r>
      <w:r w:rsidR="006B5024">
        <w:rPr>
          <w:rFonts w:ascii="Times New Roman" w:hAnsi="Times New Roman"/>
          <w:sz w:val="24"/>
          <w:szCs w:val="24"/>
        </w:rPr>
        <w:t xml:space="preserve">2265,6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Pr="00982888">
        <w:rPr>
          <w:rFonts w:ascii="Times New Roman" w:hAnsi="Times New Roman"/>
          <w:sz w:val="24"/>
          <w:szCs w:val="24"/>
        </w:rPr>
        <w:t xml:space="preserve"> </w:t>
      </w:r>
      <w:r w:rsidR="006B5024">
        <w:rPr>
          <w:rFonts w:ascii="Times New Roman" w:hAnsi="Times New Roman"/>
          <w:sz w:val="24"/>
          <w:szCs w:val="24"/>
        </w:rPr>
        <w:t>45,0</w:t>
      </w:r>
      <w:r w:rsidRPr="00982888">
        <w:rPr>
          <w:rFonts w:ascii="Times New Roman" w:hAnsi="Times New Roman"/>
          <w:sz w:val="24"/>
          <w:szCs w:val="24"/>
        </w:rPr>
        <w:t xml:space="preserve">%,общегосударственные расходы </w:t>
      </w:r>
      <w:r w:rsidR="006B5024">
        <w:rPr>
          <w:rFonts w:ascii="Times New Roman" w:hAnsi="Times New Roman"/>
          <w:sz w:val="24"/>
          <w:szCs w:val="24"/>
        </w:rPr>
        <w:t xml:space="preserve">997,3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и составляют 2</w:t>
      </w:r>
      <w:r>
        <w:rPr>
          <w:rFonts w:ascii="Times New Roman" w:hAnsi="Times New Roman"/>
          <w:sz w:val="24"/>
          <w:szCs w:val="24"/>
        </w:rPr>
        <w:t xml:space="preserve">0 </w:t>
      </w:r>
      <w:r w:rsidRPr="00982888">
        <w:rPr>
          <w:rFonts w:ascii="Times New Roman" w:hAnsi="Times New Roman"/>
          <w:sz w:val="24"/>
          <w:szCs w:val="24"/>
        </w:rPr>
        <w:t xml:space="preserve">%,жилищно-коммунальное хозяйство </w:t>
      </w:r>
      <w:r w:rsidR="006B5024">
        <w:rPr>
          <w:rFonts w:ascii="Times New Roman" w:hAnsi="Times New Roman"/>
          <w:sz w:val="24"/>
          <w:szCs w:val="24"/>
        </w:rPr>
        <w:t xml:space="preserve">440,9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w:t>
      </w:r>
      <w:r w:rsidR="006B5024" w:rsidRPr="006B5024">
        <w:rPr>
          <w:rFonts w:ascii="Times New Roman" w:hAnsi="Times New Roman"/>
          <w:sz w:val="24"/>
          <w:szCs w:val="24"/>
        </w:rPr>
        <w:t xml:space="preserve"> </w:t>
      </w:r>
      <w:r w:rsidR="006B5024">
        <w:rPr>
          <w:rFonts w:ascii="Times New Roman" w:hAnsi="Times New Roman"/>
          <w:sz w:val="24"/>
          <w:szCs w:val="24"/>
        </w:rPr>
        <w:t>и составляют 8,</w:t>
      </w:r>
      <w:r>
        <w:rPr>
          <w:rFonts w:ascii="Times New Roman" w:hAnsi="Times New Roman"/>
          <w:sz w:val="24"/>
          <w:szCs w:val="24"/>
        </w:rPr>
        <w:t>7</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w:t>
      </w:r>
      <w:r w:rsidRPr="00982888">
        <w:rPr>
          <w:rFonts w:ascii="Times New Roman" w:hAnsi="Times New Roman"/>
          <w:color w:val="000000"/>
          <w:spacing w:val="3"/>
          <w:sz w:val="24"/>
          <w:szCs w:val="24"/>
        </w:rPr>
        <w:lastRenderedPageBreak/>
        <w:t xml:space="preserve">по первичному воинскому учету на территориях, где отсутствуют военные комиссариаты на 2020 год и смете, утвержденной главой Администрацией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077BBF" w:rsidRPr="00077BBF">
        <w:rPr>
          <w:rStyle w:val="4"/>
          <w:b w:val="0"/>
          <w:bCs w:val="0"/>
          <w:color w:val="000000"/>
          <w:sz w:val="24"/>
          <w:szCs w:val="24"/>
        </w:rPr>
        <w:t xml:space="preserve"> </w:t>
      </w:r>
      <w:r w:rsidRPr="00982888">
        <w:rPr>
          <w:rFonts w:ascii="Times New Roman" w:hAnsi="Times New Roman"/>
          <w:color w:val="000000"/>
          <w:spacing w:val="3"/>
          <w:sz w:val="24"/>
          <w:szCs w:val="24"/>
        </w:rPr>
        <w:t>сельсовета. Субвенция освоена в полном объеме – 8</w:t>
      </w:r>
      <w:r w:rsidR="006B5024">
        <w:rPr>
          <w:rFonts w:ascii="Times New Roman" w:hAnsi="Times New Roman"/>
          <w:color w:val="000000"/>
          <w:spacing w:val="3"/>
          <w:sz w:val="24"/>
          <w:szCs w:val="24"/>
        </w:rPr>
        <w:t>6</w:t>
      </w:r>
      <w:r w:rsidRPr="00982888">
        <w:rPr>
          <w:rFonts w:ascii="Times New Roman" w:hAnsi="Times New Roman"/>
          <w:color w:val="000000"/>
          <w:spacing w:val="3"/>
          <w:sz w:val="24"/>
          <w:szCs w:val="24"/>
        </w:rPr>
        <w:t xml:space="preserve">,1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A54D31">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997,7</w:t>
            </w:r>
          </w:p>
        </w:tc>
        <w:tc>
          <w:tcPr>
            <w:tcW w:w="1254" w:type="dxa"/>
          </w:tcPr>
          <w:p w:rsidR="00EC285F" w:rsidRPr="00982888" w:rsidRDefault="006B5024" w:rsidP="00C45993">
            <w:pPr>
              <w:jc w:val="center"/>
              <w:rPr>
                <w:rFonts w:ascii="Times New Roman" w:hAnsi="Times New Roman"/>
                <w:b/>
                <w:sz w:val="24"/>
                <w:szCs w:val="24"/>
              </w:rPr>
            </w:pPr>
            <w:r>
              <w:rPr>
                <w:rFonts w:ascii="Times New Roman" w:hAnsi="Times New Roman"/>
                <w:b/>
                <w:sz w:val="24"/>
                <w:szCs w:val="24"/>
              </w:rPr>
              <w:t>997,</w:t>
            </w:r>
            <w:r w:rsidR="00C45993">
              <w:rPr>
                <w:rFonts w:ascii="Times New Roman" w:hAnsi="Times New Roman"/>
                <w:b/>
                <w:sz w:val="24"/>
                <w:szCs w:val="24"/>
              </w:rPr>
              <w:t>3</w:t>
            </w:r>
          </w:p>
        </w:tc>
        <w:tc>
          <w:tcPr>
            <w:tcW w:w="1404" w:type="dxa"/>
          </w:tcPr>
          <w:p w:rsidR="00EC285F" w:rsidRPr="00982888" w:rsidRDefault="00E7344A" w:rsidP="00E7344A">
            <w:pPr>
              <w:jc w:val="center"/>
              <w:rPr>
                <w:rFonts w:ascii="Times New Roman" w:hAnsi="Times New Roman"/>
                <w:sz w:val="24"/>
                <w:szCs w:val="24"/>
              </w:rPr>
            </w:pPr>
            <w:r>
              <w:rPr>
                <w:rFonts w:ascii="Times New Roman" w:hAnsi="Times New Roman"/>
                <w:sz w:val="24"/>
                <w:szCs w:val="24"/>
              </w:rPr>
              <w:t>-</w:t>
            </w:r>
            <w:r w:rsidR="00EC285F">
              <w:rPr>
                <w:rFonts w:ascii="Times New Roman" w:hAnsi="Times New Roman"/>
                <w:sz w:val="24"/>
                <w:szCs w:val="24"/>
              </w:rPr>
              <w:t>0,</w:t>
            </w:r>
            <w:r>
              <w:rPr>
                <w:rFonts w:ascii="Times New Roman" w:hAnsi="Times New Roman"/>
                <w:sz w:val="24"/>
                <w:szCs w:val="24"/>
              </w:rPr>
              <w:t>5</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86,1</w:t>
            </w:r>
          </w:p>
        </w:tc>
        <w:tc>
          <w:tcPr>
            <w:tcW w:w="1254"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86,1</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83,0</w:t>
            </w:r>
          </w:p>
        </w:tc>
        <w:tc>
          <w:tcPr>
            <w:tcW w:w="1254"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83,0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2467,9</w:t>
            </w:r>
          </w:p>
        </w:tc>
        <w:tc>
          <w:tcPr>
            <w:tcW w:w="1254" w:type="dxa"/>
          </w:tcPr>
          <w:p w:rsidR="00EC285F" w:rsidRPr="00982888" w:rsidRDefault="006B5024" w:rsidP="006B5024">
            <w:pPr>
              <w:jc w:val="center"/>
              <w:rPr>
                <w:rFonts w:ascii="Times New Roman" w:hAnsi="Times New Roman"/>
                <w:b/>
                <w:sz w:val="24"/>
                <w:szCs w:val="24"/>
              </w:rPr>
            </w:pPr>
            <w:r>
              <w:rPr>
                <w:rFonts w:ascii="Times New Roman" w:hAnsi="Times New Roman"/>
                <w:b/>
                <w:sz w:val="24"/>
                <w:szCs w:val="24"/>
              </w:rPr>
              <w:t>2265,5</w:t>
            </w:r>
          </w:p>
        </w:tc>
        <w:tc>
          <w:tcPr>
            <w:tcW w:w="1404" w:type="dxa"/>
          </w:tcPr>
          <w:p w:rsidR="00EC285F" w:rsidRPr="00982888" w:rsidRDefault="006B5024" w:rsidP="0046549F">
            <w:pPr>
              <w:jc w:val="center"/>
              <w:rPr>
                <w:rFonts w:ascii="Times New Roman" w:hAnsi="Times New Roman"/>
                <w:sz w:val="24"/>
                <w:szCs w:val="24"/>
              </w:rPr>
            </w:pPr>
            <w:r>
              <w:rPr>
                <w:rFonts w:ascii="Times New Roman" w:hAnsi="Times New Roman"/>
                <w:sz w:val="24"/>
                <w:szCs w:val="24"/>
              </w:rPr>
              <w:t>-202,4</w:t>
            </w:r>
          </w:p>
        </w:tc>
        <w:tc>
          <w:tcPr>
            <w:tcW w:w="843" w:type="dxa"/>
          </w:tcPr>
          <w:p w:rsidR="00EC285F" w:rsidRPr="00982888" w:rsidRDefault="006B5024" w:rsidP="0046549F">
            <w:pPr>
              <w:jc w:val="center"/>
              <w:rPr>
                <w:rFonts w:ascii="Times New Roman" w:hAnsi="Times New Roman"/>
                <w:sz w:val="24"/>
                <w:szCs w:val="24"/>
              </w:rPr>
            </w:pPr>
            <w:r>
              <w:rPr>
                <w:rFonts w:ascii="Times New Roman" w:hAnsi="Times New Roman"/>
                <w:sz w:val="24"/>
                <w:szCs w:val="24"/>
              </w:rPr>
              <w:t>91,8</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441,0</w:t>
            </w:r>
          </w:p>
        </w:tc>
        <w:tc>
          <w:tcPr>
            <w:tcW w:w="1254" w:type="dxa"/>
          </w:tcPr>
          <w:p w:rsidR="00EC285F" w:rsidRPr="00982888" w:rsidRDefault="006B5024" w:rsidP="006B5024">
            <w:pPr>
              <w:jc w:val="center"/>
              <w:rPr>
                <w:rFonts w:ascii="Times New Roman" w:hAnsi="Times New Roman"/>
                <w:b/>
                <w:sz w:val="24"/>
                <w:szCs w:val="24"/>
              </w:rPr>
            </w:pPr>
            <w:r>
              <w:rPr>
                <w:rFonts w:ascii="Times New Roman" w:hAnsi="Times New Roman"/>
                <w:b/>
                <w:sz w:val="24"/>
                <w:szCs w:val="24"/>
              </w:rPr>
              <w:t>441,0</w:t>
            </w:r>
          </w:p>
        </w:tc>
        <w:tc>
          <w:tcPr>
            <w:tcW w:w="1404" w:type="dxa"/>
          </w:tcPr>
          <w:p w:rsidR="00EC285F" w:rsidRPr="00982888" w:rsidRDefault="006B5024"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1148,8</w:t>
            </w:r>
          </w:p>
        </w:tc>
        <w:tc>
          <w:tcPr>
            <w:tcW w:w="1254" w:type="dxa"/>
          </w:tcPr>
          <w:p w:rsidR="00EC285F" w:rsidRPr="00982888" w:rsidRDefault="006B5024" w:rsidP="006B5024">
            <w:pPr>
              <w:jc w:val="center"/>
              <w:rPr>
                <w:rFonts w:ascii="Times New Roman" w:hAnsi="Times New Roman"/>
                <w:b/>
                <w:sz w:val="24"/>
                <w:szCs w:val="24"/>
              </w:rPr>
            </w:pPr>
            <w:r>
              <w:rPr>
                <w:rFonts w:ascii="Times New Roman" w:hAnsi="Times New Roman"/>
                <w:b/>
                <w:sz w:val="24"/>
                <w:szCs w:val="24"/>
              </w:rPr>
              <w:t>1148,8</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A54D31">
              <w:rPr>
                <w:rFonts w:ascii="Times New Roman" w:hAnsi="Times New Roman"/>
                <w:sz w:val="24"/>
                <w:szCs w:val="24"/>
              </w:rPr>
              <w:t>00</w:t>
            </w:r>
          </w:p>
        </w:tc>
        <w:tc>
          <w:tcPr>
            <w:tcW w:w="1385" w:type="dxa"/>
          </w:tcPr>
          <w:p w:rsidR="00EC285F" w:rsidRPr="00982888" w:rsidRDefault="006B5024" w:rsidP="0046549F">
            <w:pPr>
              <w:jc w:val="center"/>
              <w:rPr>
                <w:rFonts w:ascii="Times New Roman" w:hAnsi="Times New Roman"/>
                <w:b/>
                <w:sz w:val="24"/>
                <w:szCs w:val="24"/>
              </w:rPr>
            </w:pPr>
            <w:r>
              <w:rPr>
                <w:rFonts w:ascii="Times New Roman" w:hAnsi="Times New Roman"/>
                <w:b/>
                <w:sz w:val="24"/>
                <w:szCs w:val="24"/>
              </w:rPr>
              <w:t>12,0</w:t>
            </w:r>
          </w:p>
        </w:tc>
        <w:tc>
          <w:tcPr>
            <w:tcW w:w="1254" w:type="dxa"/>
          </w:tcPr>
          <w:p w:rsidR="00EC285F" w:rsidRDefault="006B5024" w:rsidP="0046549F">
            <w:pPr>
              <w:jc w:val="center"/>
              <w:rPr>
                <w:rFonts w:ascii="Times New Roman" w:hAnsi="Times New Roman"/>
                <w:b/>
                <w:sz w:val="24"/>
                <w:szCs w:val="24"/>
              </w:rPr>
            </w:pPr>
            <w:r>
              <w:rPr>
                <w:rFonts w:ascii="Times New Roman" w:hAnsi="Times New Roman"/>
                <w:b/>
                <w:sz w:val="24"/>
                <w:szCs w:val="24"/>
              </w:rPr>
              <w:t>12,0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6B5024" w:rsidP="0046549F">
            <w:pPr>
              <w:jc w:val="center"/>
              <w:rPr>
                <w:rFonts w:ascii="Times New Roman" w:hAnsi="Times New Roman"/>
                <w:b/>
                <w:sz w:val="24"/>
                <w:szCs w:val="24"/>
              </w:rPr>
            </w:pPr>
            <w:r>
              <w:rPr>
                <w:rFonts w:ascii="Times New Roman" w:hAnsi="Times New Roman"/>
                <w:b/>
                <w:sz w:val="24"/>
                <w:szCs w:val="24"/>
              </w:rPr>
              <w:t>5236,5</w:t>
            </w:r>
          </w:p>
        </w:tc>
        <w:tc>
          <w:tcPr>
            <w:tcW w:w="1254" w:type="dxa"/>
          </w:tcPr>
          <w:p w:rsidR="00EC285F" w:rsidRPr="006443ED" w:rsidRDefault="006B5024" w:rsidP="00C45993">
            <w:pPr>
              <w:jc w:val="center"/>
              <w:rPr>
                <w:rFonts w:ascii="Times New Roman" w:hAnsi="Times New Roman"/>
                <w:b/>
                <w:sz w:val="24"/>
                <w:szCs w:val="24"/>
              </w:rPr>
            </w:pPr>
            <w:r>
              <w:rPr>
                <w:rFonts w:ascii="Times New Roman" w:hAnsi="Times New Roman"/>
                <w:b/>
                <w:sz w:val="24"/>
                <w:szCs w:val="24"/>
              </w:rPr>
              <w:t>5033,</w:t>
            </w:r>
            <w:r w:rsidR="00C45993">
              <w:rPr>
                <w:rFonts w:ascii="Times New Roman" w:hAnsi="Times New Roman"/>
                <w:b/>
                <w:sz w:val="24"/>
                <w:szCs w:val="24"/>
              </w:rPr>
              <w:t>7</w:t>
            </w:r>
          </w:p>
        </w:tc>
        <w:tc>
          <w:tcPr>
            <w:tcW w:w="1404" w:type="dxa"/>
          </w:tcPr>
          <w:p w:rsidR="00EC285F" w:rsidRPr="006443ED" w:rsidRDefault="00C45993" w:rsidP="00C45993">
            <w:pPr>
              <w:jc w:val="center"/>
              <w:rPr>
                <w:rFonts w:ascii="Times New Roman" w:hAnsi="Times New Roman"/>
                <w:b/>
                <w:sz w:val="24"/>
                <w:szCs w:val="24"/>
              </w:rPr>
            </w:pPr>
            <w:r>
              <w:rPr>
                <w:rFonts w:ascii="Times New Roman" w:hAnsi="Times New Roman"/>
                <w:b/>
                <w:sz w:val="24"/>
                <w:szCs w:val="24"/>
              </w:rPr>
              <w:t>202,9</w:t>
            </w:r>
          </w:p>
        </w:tc>
        <w:tc>
          <w:tcPr>
            <w:tcW w:w="843" w:type="dxa"/>
          </w:tcPr>
          <w:p w:rsidR="00EC285F" w:rsidRPr="00982888" w:rsidRDefault="006B5024" w:rsidP="0046549F">
            <w:pPr>
              <w:jc w:val="center"/>
              <w:rPr>
                <w:rFonts w:ascii="Times New Roman" w:hAnsi="Times New Roman"/>
                <w:sz w:val="24"/>
                <w:szCs w:val="24"/>
              </w:rPr>
            </w:pPr>
            <w:r>
              <w:rPr>
                <w:rFonts w:ascii="Times New Roman" w:hAnsi="Times New Roman"/>
                <w:sz w:val="24"/>
                <w:szCs w:val="24"/>
              </w:rPr>
              <w:t>96,1</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lastRenderedPageBreak/>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r w:rsidR="00077BBF">
        <w:rPr>
          <w:rStyle w:val="4"/>
          <w:b w:val="0"/>
          <w:bCs w:val="0"/>
          <w:color w:val="000000"/>
          <w:sz w:val="24"/>
          <w:szCs w:val="24"/>
        </w:rPr>
        <w:t>Верх-</w:t>
      </w:r>
      <w:proofErr w:type="spellStart"/>
      <w:r w:rsidR="00077BBF">
        <w:rPr>
          <w:rStyle w:val="4"/>
          <w:b w:val="0"/>
          <w:bCs w:val="0"/>
          <w:color w:val="000000"/>
          <w:sz w:val="24"/>
          <w:szCs w:val="24"/>
        </w:rPr>
        <w:t>Камышенского</w:t>
      </w:r>
      <w:proofErr w:type="spellEnd"/>
      <w:r w:rsidR="00077BBF" w:rsidRPr="00077BB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2B3DB4" w:rsidRPr="002B3DB4">
        <w:t xml:space="preserve"> </w:t>
      </w:r>
      <w:r w:rsidR="00077BBF">
        <w:t>В</w:t>
      </w:r>
      <w:r w:rsidR="00077BBF">
        <w:rPr>
          <w:rStyle w:val="4"/>
          <w:b w:val="0"/>
          <w:bCs w:val="0"/>
          <w:sz w:val="24"/>
          <w:szCs w:val="24"/>
        </w:rPr>
        <w:t>ерх-</w:t>
      </w:r>
      <w:proofErr w:type="spellStart"/>
      <w:r w:rsidR="00077BBF">
        <w:rPr>
          <w:rStyle w:val="4"/>
          <w:b w:val="0"/>
          <w:bCs w:val="0"/>
          <w:sz w:val="24"/>
          <w:szCs w:val="24"/>
        </w:rPr>
        <w:t>Камышенского</w:t>
      </w:r>
      <w:proofErr w:type="spellEnd"/>
      <w:r w:rsidR="00077BBF" w:rsidRPr="00077BBF">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A54D31">
      <w:pPr>
        <w:pStyle w:val="Default"/>
        <w:jc w:val="both"/>
      </w:pPr>
      <w:r w:rsidRPr="00982888">
        <w:tab/>
        <w:t xml:space="preserve">4. Представленный отчет об исполнении бюджета муниципального образования </w:t>
      </w:r>
      <w:r w:rsidR="00077BBF">
        <w:rPr>
          <w:rStyle w:val="4"/>
          <w:b w:val="0"/>
          <w:bCs w:val="0"/>
          <w:sz w:val="24"/>
          <w:szCs w:val="24"/>
        </w:rPr>
        <w:t>Верх-</w:t>
      </w:r>
      <w:proofErr w:type="spellStart"/>
      <w:r w:rsidR="00077BBF">
        <w:rPr>
          <w:rStyle w:val="4"/>
          <w:b w:val="0"/>
          <w:bCs w:val="0"/>
          <w:sz w:val="24"/>
          <w:szCs w:val="24"/>
        </w:rPr>
        <w:t>Камышенского</w:t>
      </w:r>
      <w:proofErr w:type="spellEnd"/>
      <w:r w:rsidR="00077BBF" w:rsidRPr="00077BBF">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в </w:t>
      </w:r>
      <w:r w:rsidR="00A54D31">
        <w:t xml:space="preserve">Собрание </w:t>
      </w:r>
      <w:r w:rsidR="00A54D31" w:rsidRPr="00982888">
        <w:t>депутатов</w:t>
      </w:r>
      <w:r w:rsidR="00A54D31">
        <w:t xml:space="preserve"> </w:t>
      </w:r>
      <w:r w:rsidR="005E1058">
        <w:rPr>
          <w:rStyle w:val="4"/>
          <w:b w:val="0"/>
          <w:bCs w:val="0"/>
          <w:sz w:val="24"/>
          <w:szCs w:val="24"/>
        </w:rPr>
        <w:t>Верх-</w:t>
      </w:r>
      <w:proofErr w:type="spellStart"/>
      <w:r w:rsidR="005E1058">
        <w:rPr>
          <w:rStyle w:val="4"/>
          <w:b w:val="0"/>
          <w:bCs w:val="0"/>
          <w:sz w:val="24"/>
          <w:szCs w:val="24"/>
        </w:rPr>
        <w:t>Камышенского</w:t>
      </w:r>
      <w:proofErr w:type="spellEnd"/>
      <w:r w:rsidR="00A54D31" w:rsidRPr="00982888">
        <w:t xml:space="preserve"> </w:t>
      </w:r>
      <w:bookmarkStart w:id="1" w:name="_GoBack"/>
      <w:bookmarkEnd w:id="1"/>
      <w:r w:rsidR="00A54D31" w:rsidRPr="00982888">
        <w:t xml:space="preserve">сельского Совета </w:t>
      </w:r>
      <w:proofErr w:type="spellStart"/>
      <w:r w:rsidR="00A54D31" w:rsidRPr="00982888">
        <w:rPr>
          <w:rStyle w:val="4"/>
          <w:b w:val="0"/>
          <w:bCs w:val="0"/>
          <w:sz w:val="24"/>
          <w:szCs w:val="24"/>
        </w:rPr>
        <w:t>Заринского</w:t>
      </w:r>
      <w:proofErr w:type="spellEnd"/>
      <w:r w:rsidR="00A54D31" w:rsidRPr="00982888">
        <w:rPr>
          <w:rStyle w:val="4"/>
          <w:b w:val="0"/>
          <w:bCs w:val="0"/>
          <w:sz w:val="24"/>
          <w:szCs w:val="24"/>
        </w:rPr>
        <w:t xml:space="preserve"> района </w:t>
      </w:r>
      <w:r w:rsidR="00A54D31" w:rsidRPr="00982888">
        <w:t>Алтайского края</w:t>
      </w:r>
      <w:r w:rsidR="00A54D31">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7BBF"/>
    <w:rsid w:val="00084CCA"/>
    <w:rsid w:val="000A29E5"/>
    <w:rsid w:val="000B7041"/>
    <w:rsid w:val="000E04A6"/>
    <w:rsid w:val="000F6040"/>
    <w:rsid w:val="00113B71"/>
    <w:rsid w:val="001350C4"/>
    <w:rsid w:val="00151FCA"/>
    <w:rsid w:val="001645FD"/>
    <w:rsid w:val="001C2B1E"/>
    <w:rsid w:val="001E6169"/>
    <w:rsid w:val="001E7133"/>
    <w:rsid w:val="001F16DE"/>
    <w:rsid w:val="00212350"/>
    <w:rsid w:val="00213933"/>
    <w:rsid w:val="00246E51"/>
    <w:rsid w:val="00255908"/>
    <w:rsid w:val="0026358F"/>
    <w:rsid w:val="002B3DB4"/>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5E1058"/>
    <w:rsid w:val="00622D03"/>
    <w:rsid w:val="00653D23"/>
    <w:rsid w:val="00654EED"/>
    <w:rsid w:val="00697086"/>
    <w:rsid w:val="006B3A46"/>
    <w:rsid w:val="006B5024"/>
    <w:rsid w:val="006F38BD"/>
    <w:rsid w:val="00711295"/>
    <w:rsid w:val="0072251F"/>
    <w:rsid w:val="00736204"/>
    <w:rsid w:val="007371DF"/>
    <w:rsid w:val="00746617"/>
    <w:rsid w:val="00762594"/>
    <w:rsid w:val="00766D4F"/>
    <w:rsid w:val="007C1F2A"/>
    <w:rsid w:val="007D2006"/>
    <w:rsid w:val="007D213C"/>
    <w:rsid w:val="007D79CF"/>
    <w:rsid w:val="00825CD2"/>
    <w:rsid w:val="00861100"/>
    <w:rsid w:val="008615D2"/>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C06C6"/>
    <w:rsid w:val="009D1048"/>
    <w:rsid w:val="009D3D3E"/>
    <w:rsid w:val="009D52A8"/>
    <w:rsid w:val="00A17398"/>
    <w:rsid w:val="00A204F5"/>
    <w:rsid w:val="00A31658"/>
    <w:rsid w:val="00A45473"/>
    <w:rsid w:val="00A54D31"/>
    <w:rsid w:val="00A7592C"/>
    <w:rsid w:val="00A84EEB"/>
    <w:rsid w:val="00A84FCB"/>
    <w:rsid w:val="00A94201"/>
    <w:rsid w:val="00AA6B49"/>
    <w:rsid w:val="00AB4352"/>
    <w:rsid w:val="00AF5DB2"/>
    <w:rsid w:val="00B07BA0"/>
    <w:rsid w:val="00B427BB"/>
    <w:rsid w:val="00B513A0"/>
    <w:rsid w:val="00B54317"/>
    <w:rsid w:val="00BC45B5"/>
    <w:rsid w:val="00BE48A3"/>
    <w:rsid w:val="00BE6F4F"/>
    <w:rsid w:val="00BF6E4D"/>
    <w:rsid w:val="00C01A62"/>
    <w:rsid w:val="00C2029C"/>
    <w:rsid w:val="00C3157C"/>
    <w:rsid w:val="00C45063"/>
    <w:rsid w:val="00C4599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15EEF"/>
    <w:rsid w:val="00E234E9"/>
    <w:rsid w:val="00E3268D"/>
    <w:rsid w:val="00E3450C"/>
    <w:rsid w:val="00E51933"/>
    <w:rsid w:val="00E54E37"/>
    <w:rsid w:val="00E7074F"/>
    <w:rsid w:val="00E70F27"/>
    <w:rsid w:val="00E7344A"/>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BB316-095E-432F-9F2C-9E4CDF7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22E14-2B59-4B21-9170-FB51983F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6</cp:revision>
  <cp:lastPrinted>2021-05-24T06:52:00Z</cp:lastPrinted>
  <dcterms:created xsi:type="dcterms:W3CDTF">2019-05-08T03:23:00Z</dcterms:created>
  <dcterms:modified xsi:type="dcterms:W3CDTF">2021-05-24T06:54:00Z</dcterms:modified>
</cp:coreProperties>
</file>