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6F6473">
        <w:rPr>
          <w:rStyle w:val="4"/>
          <w:b/>
          <w:bCs/>
          <w:color w:val="000000"/>
          <w:sz w:val="24"/>
          <w:szCs w:val="24"/>
        </w:rPr>
        <w:t>Г</w:t>
      </w:r>
      <w:r w:rsidR="00E449F0">
        <w:rPr>
          <w:rStyle w:val="4"/>
          <w:b/>
          <w:bCs/>
          <w:color w:val="000000"/>
          <w:sz w:val="24"/>
          <w:szCs w:val="24"/>
        </w:rPr>
        <w:t>оношихинского</w:t>
      </w:r>
      <w:proofErr w:type="spellEnd"/>
      <w:r w:rsidR="00FF5D4A">
        <w:rPr>
          <w:rStyle w:val="4"/>
          <w:b/>
          <w:bCs/>
          <w:color w:val="000000"/>
          <w:sz w:val="24"/>
          <w:szCs w:val="24"/>
        </w:rPr>
        <w:t xml:space="preserve"> </w:t>
      </w:r>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E449F0">
        <w:rPr>
          <w:rStyle w:val="4"/>
          <w:b w:val="0"/>
          <w:bCs w:val="0"/>
          <w:color w:val="000000"/>
          <w:sz w:val="24"/>
          <w:szCs w:val="24"/>
        </w:rPr>
        <w:t>Гоношихинского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w:t>
      </w:r>
      <w:r w:rsidR="00C41CEB" w:rsidRPr="00C41CEB">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w:t>
      </w:r>
      <w:proofErr w:type="gramStart"/>
      <w:r w:rsidRPr="00982888">
        <w:rPr>
          <w:rFonts w:ascii="Times New Roman" w:hAnsi="Times New Roman"/>
          <w:sz w:val="24"/>
          <w:szCs w:val="24"/>
        </w:rPr>
        <w:t>Администрация</w:t>
      </w:r>
      <w:r w:rsidR="00FF5D4A" w:rsidRPr="00FF5D4A">
        <w:rPr>
          <w:rStyle w:val="4"/>
          <w:b w:val="0"/>
          <w:bCs w:val="0"/>
          <w:color w:val="000000"/>
          <w:sz w:val="24"/>
          <w:szCs w:val="24"/>
        </w:rPr>
        <w:t xml:space="preserve"> </w:t>
      </w:r>
      <w:r w:rsidR="006F6473">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proofErr w:type="gramEnd"/>
      <w:r w:rsidR="00E449F0"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E449F0">
        <w:rPr>
          <w:rFonts w:ascii="Times New Roman" w:hAnsi="Times New Roman"/>
          <w:sz w:val="24"/>
          <w:szCs w:val="24"/>
        </w:rPr>
        <w:t xml:space="preserve"> </w:t>
      </w:r>
      <w:r w:rsidR="00073259">
        <w:rPr>
          <w:rStyle w:val="4"/>
          <w:b w:val="0"/>
          <w:bCs w:val="0"/>
          <w:color w:val="000000"/>
          <w:sz w:val="24"/>
          <w:szCs w:val="24"/>
        </w:rPr>
        <w:t xml:space="preserve"> </w:t>
      </w:r>
      <w:r w:rsidR="006F6473">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E449F0">
        <w:rPr>
          <w:rStyle w:val="4"/>
          <w:b w:val="0"/>
          <w:bCs w:val="0"/>
          <w:sz w:val="24"/>
          <w:szCs w:val="24"/>
        </w:rPr>
        <w:t>Гоношихинского</w:t>
      </w:r>
      <w:proofErr w:type="spellEnd"/>
      <w:r w:rsidR="00E449F0"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073259" w:rsidRPr="00073259">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E449F0" w:rsidRPr="00E449F0">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C41CEB" w:rsidRPr="00C41CEB">
        <w:rPr>
          <w:rStyle w:val="4"/>
          <w:b w:val="0"/>
          <w:bCs w:val="0"/>
          <w:color w:val="000000"/>
          <w:sz w:val="24"/>
          <w:szCs w:val="24"/>
        </w:rPr>
        <w:t xml:space="preserve"> </w:t>
      </w:r>
      <w:r w:rsidR="00073259">
        <w:rPr>
          <w:rFonts w:ascii="Times New Roman" w:hAnsi="Times New Roman"/>
          <w:sz w:val="24"/>
          <w:szCs w:val="24"/>
        </w:rPr>
        <w:t>с</w:t>
      </w:r>
      <w:r w:rsidRPr="00982888">
        <w:rPr>
          <w:rFonts w:ascii="Times New Roman" w:hAnsi="Times New Roman"/>
          <w:sz w:val="24"/>
          <w:szCs w:val="24"/>
        </w:rPr>
        <w:t xml:space="preserve">ельского Совета депутатов № </w:t>
      </w:r>
      <w:r w:rsidR="00CC2B18">
        <w:rPr>
          <w:rFonts w:ascii="Times New Roman" w:hAnsi="Times New Roman"/>
          <w:sz w:val="24"/>
          <w:szCs w:val="24"/>
        </w:rPr>
        <w:t>30</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2B294B">
        <w:rPr>
          <w:rFonts w:ascii="Times New Roman" w:hAnsi="Times New Roman"/>
          <w:sz w:val="24"/>
          <w:szCs w:val="24"/>
        </w:rPr>
        <w:t>2</w:t>
      </w:r>
      <w:r w:rsidR="00CC2B18">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CC2B18">
        <w:rPr>
          <w:rFonts w:ascii="Times New Roman" w:hAnsi="Times New Roman"/>
          <w:sz w:val="24"/>
          <w:szCs w:val="24"/>
        </w:rPr>
        <w:t>3942,2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D955C7">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CC2B18">
        <w:rPr>
          <w:rFonts w:ascii="Times New Roman" w:hAnsi="Times New Roman"/>
          <w:sz w:val="24"/>
          <w:szCs w:val="24"/>
        </w:rPr>
        <w:t>24</w:t>
      </w:r>
      <w:r w:rsidR="002B294B">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CC2B18">
        <w:rPr>
          <w:rFonts w:ascii="Times New Roman" w:hAnsi="Times New Roman"/>
          <w:sz w:val="24"/>
          <w:szCs w:val="24"/>
        </w:rPr>
        <w:t>4576,0</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CC2B18">
        <w:rPr>
          <w:rFonts w:ascii="Times New Roman" w:hAnsi="Times New Roman"/>
          <w:sz w:val="24"/>
          <w:szCs w:val="24"/>
        </w:rPr>
        <w:t>4529,8</w:t>
      </w:r>
      <w:r w:rsidR="00D955C7">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2B294B">
        <w:rPr>
          <w:rFonts w:ascii="Times New Roman" w:hAnsi="Times New Roman"/>
          <w:sz w:val="24"/>
          <w:szCs w:val="24"/>
        </w:rPr>
        <w:t>4</w:t>
      </w:r>
      <w:r w:rsidR="00CC2B18">
        <w:rPr>
          <w:rFonts w:ascii="Times New Roman" w:hAnsi="Times New Roman"/>
          <w:sz w:val="24"/>
          <w:szCs w:val="24"/>
        </w:rPr>
        <w:t>6</w:t>
      </w:r>
      <w:r w:rsidR="002B294B">
        <w:rPr>
          <w:rFonts w:ascii="Times New Roman" w:hAnsi="Times New Roman"/>
          <w:sz w:val="24"/>
          <w:szCs w:val="24"/>
        </w:rPr>
        <w:t>,</w:t>
      </w:r>
      <w:r w:rsidR="00CC2B18">
        <w:rPr>
          <w:rFonts w:ascii="Times New Roman" w:hAnsi="Times New Roman"/>
          <w:sz w:val="24"/>
          <w:szCs w:val="24"/>
        </w:rPr>
        <w:t>2</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Основные параметры бюджета муниципального образования</w:t>
      </w:r>
      <w:r w:rsidR="00E449F0" w:rsidRPr="00E449F0">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Pr="00982888">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922DCD">
        <w:rPr>
          <w:rFonts w:ascii="Times New Roman" w:hAnsi="Times New Roman"/>
          <w:sz w:val="24"/>
          <w:szCs w:val="24"/>
        </w:rPr>
        <w:t xml:space="preserve"> </w:t>
      </w:r>
      <w:proofErr w:type="gramStart"/>
      <w:r w:rsidR="00922DCD">
        <w:rPr>
          <w:rFonts w:ascii="Times New Roman" w:hAnsi="Times New Roman"/>
          <w:sz w:val="24"/>
          <w:szCs w:val="24"/>
        </w:rPr>
        <w:t xml:space="preserve">края </w:t>
      </w:r>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CC2B18">
        <w:rPr>
          <w:rFonts w:ascii="Times New Roman" w:hAnsi="Times New Roman"/>
          <w:sz w:val="24"/>
          <w:szCs w:val="24"/>
        </w:rPr>
        <w:t>0</w:t>
      </w:r>
      <w:r w:rsidR="008644A2" w:rsidRPr="00982888">
        <w:rPr>
          <w:rFonts w:ascii="Times New Roman" w:hAnsi="Times New Roman"/>
          <w:sz w:val="24"/>
          <w:szCs w:val="24"/>
        </w:rPr>
        <w:t>,</w:t>
      </w:r>
      <w:r w:rsidR="00CC2B18">
        <w:rPr>
          <w:rFonts w:ascii="Times New Roman" w:hAnsi="Times New Roman"/>
          <w:sz w:val="24"/>
          <w:szCs w:val="24"/>
        </w:rPr>
        <w:t>2</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CC2B18">
        <w:rPr>
          <w:rFonts w:ascii="Times New Roman" w:hAnsi="Times New Roman"/>
          <w:sz w:val="24"/>
          <w:szCs w:val="24"/>
        </w:rPr>
        <w:t>4587,0</w:t>
      </w:r>
      <w:r w:rsidR="009E7FD4"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7318C">
        <w:rPr>
          <w:rFonts w:ascii="Times New Roman" w:hAnsi="Times New Roman"/>
          <w:sz w:val="24"/>
          <w:szCs w:val="24"/>
        </w:rPr>
        <w:t>98,2</w:t>
      </w:r>
      <w:r w:rsidRPr="00982888">
        <w:rPr>
          <w:rFonts w:ascii="Times New Roman" w:hAnsi="Times New Roman"/>
          <w:sz w:val="24"/>
          <w:szCs w:val="24"/>
        </w:rPr>
        <w:t xml:space="preserve"> % в сумме </w:t>
      </w:r>
      <w:r w:rsidR="00CC2B18">
        <w:rPr>
          <w:rFonts w:ascii="Times New Roman" w:hAnsi="Times New Roman"/>
          <w:b/>
          <w:sz w:val="24"/>
          <w:szCs w:val="24"/>
        </w:rPr>
        <w:t>4449,2</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B7318C">
        <w:rPr>
          <w:rFonts w:ascii="Times New Roman" w:hAnsi="Times New Roman"/>
          <w:b/>
          <w:sz w:val="24"/>
          <w:szCs w:val="24"/>
        </w:rPr>
        <w:t>137,8</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Основные параметры бюджета муниципального образования</w:t>
      </w:r>
      <w:r w:rsidR="00E449F0" w:rsidRPr="00E449F0">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Pr="00982888">
        <w:rPr>
          <w:rFonts w:ascii="Times New Roman" w:hAnsi="Times New Roman"/>
          <w:b/>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B7318C" w:rsidP="000C4010">
            <w:pPr>
              <w:jc w:val="center"/>
            </w:pPr>
            <w:r>
              <w:rPr>
                <w:rFonts w:ascii="Times New Roman" w:hAnsi="Times New Roman"/>
                <w:sz w:val="24"/>
                <w:szCs w:val="24"/>
              </w:rPr>
              <w:t>3942,2</w:t>
            </w:r>
          </w:p>
        </w:tc>
        <w:tc>
          <w:tcPr>
            <w:tcW w:w="1613" w:type="dxa"/>
          </w:tcPr>
          <w:p w:rsidR="000C4010" w:rsidRPr="00982888" w:rsidRDefault="00B7318C" w:rsidP="000C4010">
            <w:pPr>
              <w:jc w:val="center"/>
              <w:rPr>
                <w:rFonts w:ascii="Times New Roman" w:hAnsi="Times New Roman"/>
                <w:b/>
                <w:sz w:val="24"/>
                <w:szCs w:val="24"/>
              </w:rPr>
            </w:pPr>
            <w:r>
              <w:rPr>
                <w:rFonts w:ascii="Times New Roman" w:hAnsi="Times New Roman"/>
                <w:sz w:val="24"/>
                <w:szCs w:val="24"/>
              </w:rPr>
              <w:t>4576,0</w:t>
            </w:r>
          </w:p>
        </w:tc>
        <w:tc>
          <w:tcPr>
            <w:tcW w:w="1406" w:type="dxa"/>
          </w:tcPr>
          <w:p w:rsidR="000C4010" w:rsidRPr="00982888" w:rsidRDefault="00B7318C" w:rsidP="00B94B32">
            <w:pPr>
              <w:jc w:val="center"/>
              <w:rPr>
                <w:rFonts w:ascii="Times New Roman" w:hAnsi="Times New Roman"/>
                <w:b/>
                <w:sz w:val="24"/>
                <w:szCs w:val="24"/>
              </w:rPr>
            </w:pPr>
            <w:r>
              <w:rPr>
                <w:rFonts w:ascii="Times New Roman" w:hAnsi="Times New Roman"/>
                <w:sz w:val="24"/>
                <w:szCs w:val="24"/>
              </w:rPr>
              <w:t>4587,0</w:t>
            </w:r>
          </w:p>
        </w:tc>
        <w:tc>
          <w:tcPr>
            <w:tcW w:w="1580" w:type="dxa"/>
          </w:tcPr>
          <w:p w:rsidR="000C4010" w:rsidRPr="00982888" w:rsidRDefault="00B7318C" w:rsidP="007734E9">
            <w:pPr>
              <w:jc w:val="center"/>
              <w:rPr>
                <w:rFonts w:ascii="Times New Roman" w:hAnsi="Times New Roman"/>
                <w:b/>
                <w:sz w:val="24"/>
                <w:szCs w:val="24"/>
              </w:rPr>
            </w:pPr>
            <w:r>
              <w:rPr>
                <w:rFonts w:ascii="Times New Roman" w:hAnsi="Times New Roman"/>
                <w:b/>
                <w:sz w:val="24"/>
                <w:szCs w:val="24"/>
              </w:rPr>
              <w:t>11</w:t>
            </w:r>
          </w:p>
        </w:tc>
        <w:tc>
          <w:tcPr>
            <w:tcW w:w="934" w:type="dxa"/>
          </w:tcPr>
          <w:p w:rsidR="000C4010" w:rsidRPr="00982888" w:rsidRDefault="007734E9" w:rsidP="00B7318C">
            <w:pPr>
              <w:jc w:val="center"/>
              <w:rPr>
                <w:rFonts w:ascii="Times New Roman" w:hAnsi="Times New Roman"/>
                <w:b/>
                <w:sz w:val="24"/>
                <w:szCs w:val="24"/>
              </w:rPr>
            </w:pPr>
            <w:r>
              <w:rPr>
                <w:rFonts w:ascii="Times New Roman" w:hAnsi="Times New Roman"/>
                <w:b/>
                <w:sz w:val="24"/>
                <w:szCs w:val="24"/>
              </w:rPr>
              <w:t>10</w:t>
            </w:r>
            <w:r w:rsidR="00B7318C">
              <w:rPr>
                <w:rFonts w:ascii="Times New Roman" w:hAnsi="Times New Roman"/>
                <w:b/>
                <w:sz w:val="24"/>
                <w:szCs w:val="24"/>
              </w:rPr>
              <w:t>0</w:t>
            </w:r>
            <w:r>
              <w:rPr>
                <w:rFonts w:ascii="Times New Roman" w:hAnsi="Times New Roman"/>
                <w:b/>
                <w:sz w:val="24"/>
                <w:szCs w:val="24"/>
              </w:rPr>
              <w:t>,</w:t>
            </w:r>
            <w:r w:rsidR="00B7318C">
              <w:rPr>
                <w:rFonts w:ascii="Times New Roman" w:hAnsi="Times New Roman"/>
                <w:b/>
                <w:sz w:val="24"/>
                <w:szCs w:val="24"/>
              </w:rPr>
              <w:t>2</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B7318C" w:rsidP="000C4010">
            <w:pPr>
              <w:jc w:val="center"/>
            </w:pPr>
            <w:r>
              <w:rPr>
                <w:rFonts w:ascii="Times New Roman" w:hAnsi="Times New Roman"/>
                <w:sz w:val="24"/>
                <w:szCs w:val="24"/>
              </w:rPr>
              <w:t>3942,2</w:t>
            </w:r>
          </w:p>
        </w:tc>
        <w:tc>
          <w:tcPr>
            <w:tcW w:w="1613" w:type="dxa"/>
          </w:tcPr>
          <w:p w:rsidR="000C4010" w:rsidRPr="00982888" w:rsidRDefault="00B7318C" w:rsidP="00DF7D8C">
            <w:pPr>
              <w:jc w:val="center"/>
              <w:rPr>
                <w:rFonts w:ascii="Times New Roman" w:hAnsi="Times New Roman"/>
                <w:b/>
                <w:sz w:val="24"/>
                <w:szCs w:val="24"/>
              </w:rPr>
            </w:pPr>
            <w:r>
              <w:rPr>
                <w:rFonts w:ascii="Times New Roman" w:hAnsi="Times New Roman"/>
                <w:sz w:val="24"/>
                <w:szCs w:val="24"/>
              </w:rPr>
              <w:t>4529,8</w:t>
            </w:r>
          </w:p>
        </w:tc>
        <w:tc>
          <w:tcPr>
            <w:tcW w:w="1406" w:type="dxa"/>
          </w:tcPr>
          <w:p w:rsidR="000C4010" w:rsidRPr="00982888" w:rsidRDefault="00B7318C" w:rsidP="000C4010">
            <w:pPr>
              <w:jc w:val="center"/>
              <w:rPr>
                <w:rFonts w:ascii="Times New Roman" w:hAnsi="Times New Roman"/>
                <w:b/>
                <w:sz w:val="24"/>
                <w:szCs w:val="24"/>
              </w:rPr>
            </w:pPr>
            <w:r>
              <w:rPr>
                <w:rFonts w:ascii="Times New Roman" w:hAnsi="Times New Roman"/>
                <w:b/>
                <w:sz w:val="24"/>
                <w:szCs w:val="24"/>
              </w:rPr>
              <w:t>4449,2</w:t>
            </w:r>
          </w:p>
        </w:tc>
        <w:tc>
          <w:tcPr>
            <w:tcW w:w="1580" w:type="dxa"/>
          </w:tcPr>
          <w:p w:rsidR="000C4010" w:rsidRPr="00982888" w:rsidRDefault="00B7318C" w:rsidP="009F5255">
            <w:pPr>
              <w:jc w:val="center"/>
              <w:rPr>
                <w:rFonts w:ascii="Times New Roman" w:hAnsi="Times New Roman"/>
                <w:b/>
                <w:sz w:val="24"/>
                <w:szCs w:val="24"/>
              </w:rPr>
            </w:pPr>
            <w:r>
              <w:rPr>
                <w:rFonts w:ascii="Times New Roman" w:hAnsi="Times New Roman"/>
                <w:b/>
                <w:sz w:val="24"/>
                <w:szCs w:val="24"/>
              </w:rPr>
              <w:t>80,6</w:t>
            </w:r>
          </w:p>
        </w:tc>
        <w:tc>
          <w:tcPr>
            <w:tcW w:w="934" w:type="dxa"/>
          </w:tcPr>
          <w:p w:rsidR="000C4010" w:rsidRPr="00982888" w:rsidRDefault="00876F6E" w:rsidP="00B7318C">
            <w:pPr>
              <w:jc w:val="center"/>
              <w:rPr>
                <w:rFonts w:ascii="Times New Roman" w:hAnsi="Times New Roman"/>
                <w:b/>
                <w:sz w:val="24"/>
                <w:szCs w:val="24"/>
              </w:rPr>
            </w:pPr>
            <w:r>
              <w:rPr>
                <w:rFonts w:ascii="Times New Roman" w:hAnsi="Times New Roman"/>
                <w:b/>
                <w:sz w:val="24"/>
                <w:szCs w:val="24"/>
              </w:rPr>
              <w:t>9</w:t>
            </w:r>
            <w:r w:rsidR="00B7318C">
              <w:rPr>
                <w:rFonts w:ascii="Times New Roman" w:hAnsi="Times New Roman"/>
                <w:b/>
                <w:sz w:val="24"/>
                <w:szCs w:val="24"/>
              </w:rPr>
              <w:t>8</w:t>
            </w:r>
            <w:r>
              <w:rPr>
                <w:rFonts w:ascii="Times New Roman" w:hAnsi="Times New Roman"/>
                <w:b/>
                <w:sz w:val="24"/>
                <w:szCs w:val="24"/>
              </w:rPr>
              <w:t>,</w:t>
            </w:r>
            <w:r w:rsidR="00B7318C">
              <w:rPr>
                <w:rFonts w:ascii="Times New Roman" w:hAnsi="Times New Roman"/>
                <w:b/>
                <w:sz w:val="24"/>
                <w:szCs w:val="24"/>
              </w:rPr>
              <w:t>2</w:t>
            </w:r>
          </w:p>
        </w:tc>
      </w:tr>
      <w:tr w:rsidR="00766D4F" w:rsidRPr="00982888" w:rsidTr="000C4010">
        <w:tc>
          <w:tcPr>
            <w:tcW w:w="2072" w:type="dxa"/>
          </w:tcPr>
          <w:p w:rsidR="00766D4F" w:rsidRPr="00922DCD" w:rsidRDefault="00766D4F" w:rsidP="00A7592C">
            <w:pPr>
              <w:spacing w:line="240" w:lineRule="auto"/>
              <w:rPr>
                <w:rFonts w:ascii="Times New Roman" w:hAnsi="Times New Roman"/>
                <w:b/>
              </w:rPr>
            </w:pPr>
            <w:r w:rsidRPr="00922DCD">
              <w:rPr>
                <w:rFonts w:ascii="Times New Roman" w:hAnsi="Times New Roman"/>
                <w:b/>
              </w:rPr>
              <w:t>Дефицит</w:t>
            </w:r>
            <w:r w:rsidR="00922DCD" w:rsidRPr="00922DCD">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876F6E" w:rsidP="00B7318C">
            <w:pPr>
              <w:jc w:val="center"/>
              <w:rPr>
                <w:rFonts w:ascii="Times New Roman" w:hAnsi="Times New Roman"/>
                <w:b/>
                <w:sz w:val="24"/>
                <w:szCs w:val="24"/>
              </w:rPr>
            </w:pPr>
            <w:r>
              <w:rPr>
                <w:rFonts w:ascii="Times New Roman" w:hAnsi="Times New Roman"/>
                <w:b/>
                <w:sz w:val="24"/>
                <w:szCs w:val="24"/>
              </w:rPr>
              <w:t>4</w:t>
            </w:r>
            <w:r w:rsidR="00B7318C">
              <w:rPr>
                <w:rFonts w:ascii="Times New Roman" w:hAnsi="Times New Roman"/>
                <w:b/>
                <w:sz w:val="24"/>
                <w:szCs w:val="24"/>
              </w:rPr>
              <w:t>6</w:t>
            </w:r>
            <w:r>
              <w:rPr>
                <w:rFonts w:ascii="Times New Roman" w:hAnsi="Times New Roman"/>
                <w:b/>
                <w:sz w:val="24"/>
                <w:szCs w:val="24"/>
              </w:rPr>
              <w:t>,</w:t>
            </w:r>
            <w:r w:rsidR="00B7318C">
              <w:rPr>
                <w:rFonts w:ascii="Times New Roman" w:hAnsi="Times New Roman"/>
                <w:b/>
                <w:sz w:val="24"/>
                <w:szCs w:val="24"/>
              </w:rPr>
              <w:t>2</w:t>
            </w:r>
          </w:p>
        </w:tc>
        <w:tc>
          <w:tcPr>
            <w:tcW w:w="1406" w:type="dxa"/>
          </w:tcPr>
          <w:p w:rsidR="00766D4F" w:rsidRPr="00982888" w:rsidRDefault="00B7318C" w:rsidP="003359E7">
            <w:pPr>
              <w:jc w:val="center"/>
              <w:rPr>
                <w:rFonts w:ascii="Times New Roman" w:hAnsi="Times New Roman"/>
                <w:b/>
                <w:sz w:val="24"/>
                <w:szCs w:val="24"/>
              </w:rPr>
            </w:pPr>
            <w:r>
              <w:rPr>
                <w:rFonts w:ascii="Times New Roman" w:hAnsi="Times New Roman"/>
                <w:b/>
                <w:sz w:val="24"/>
                <w:szCs w:val="24"/>
              </w:rPr>
              <w:t>137,8</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922DCD">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B7318C" w:rsidP="003359E7">
            <w:pPr>
              <w:jc w:val="center"/>
              <w:rPr>
                <w:rFonts w:ascii="Times New Roman" w:hAnsi="Times New Roman"/>
                <w:b/>
                <w:sz w:val="24"/>
                <w:szCs w:val="24"/>
              </w:rPr>
            </w:pPr>
            <w:r>
              <w:rPr>
                <w:rFonts w:ascii="Times New Roman" w:hAnsi="Times New Roman"/>
                <w:b/>
                <w:sz w:val="24"/>
                <w:szCs w:val="24"/>
              </w:rPr>
              <w:t>137,8</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D173C2">
        <w:rPr>
          <w:rFonts w:ascii="Times New Roman" w:hAnsi="Times New Roman"/>
          <w:sz w:val="24"/>
          <w:szCs w:val="24"/>
        </w:rPr>
        <w:t xml:space="preserve"> </w:t>
      </w:r>
      <w:r w:rsidR="00AB5AF2">
        <w:rPr>
          <w:rFonts w:ascii="Times New Roman" w:hAnsi="Times New Roman"/>
          <w:sz w:val="24"/>
          <w:szCs w:val="24"/>
        </w:rPr>
        <w:t>83,9</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AB5AF2">
        <w:rPr>
          <w:rFonts w:ascii="Times New Roman" w:hAnsi="Times New Roman"/>
          <w:sz w:val="24"/>
          <w:szCs w:val="24"/>
        </w:rPr>
        <w:t xml:space="preserve"> </w:t>
      </w:r>
      <w:r w:rsidRPr="00982888">
        <w:rPr>
          <w:rFonts w:ascii="Times New Roman" w:hAnsi="Times New Roman"/>
          <w:sz w:val="24"/>
          <w:szCs w:val="24"/>
        </w:rPr>
        <w:t>-</w:t>
      </w:r>
      <w:r w:rsidR="00AB5AF2">
        <w:rPr>
          <w:rFonts w:ascii="Times New Roman" w:hAnsi="Times New Roman"/>
          <w:sz w:val="24"/>
          <w:szCs w:val="24"/>
        </w:rPr>
        <w:t xml:space="preserve"> 16,0</w:t>
      </w:r>
      <w:r w:rsidR="00E54E37">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AB5AF2">
        <w:rPr>
          <w:rFonts w:ascii="Times New Roman" w:hAnsi="Times New Roman"/>
          <w:sz w:val="24"/>
          <w:szCs w:val="24"/>
        </w:rPr>
        <w:t>735,0</w:t>
      </w:r>
      <w:r w:rsidR="00876F6E">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AB5AF2">
        <w:rPr>
          <w:rFonts w:ascii="Times New Roman" w:hAnsi="Times New Roman"/>
          <w:sz w:val="24"/>
          <w:szCs w:val="24"/>
        </w:rPr>
        <w:t>724,0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8C1C03">
        <w:rPr>
          <w:rFonts w:ascii="Times New Roman" w:hAnsi="Times New Roman"/>
          <w:sz w:val="24"/>
          <w:szCs w:val="24"/>
        </w:rPr>
        <w:t>10</w:t>
      </w:r>
      <w:r w:rsidR="00AB5AF2">
        <w:rPr>
          <w:rFonts w:ascii="Times New Roman" w:hAnsi="Times New Roman"/>
          <w:sz w:val="24"/>
          <w:szCs w:val="24"/>
        </w:rPr>
        <w:t>1</w:t>
      </w:r>
      <w:r w:rsidR="008C1C03">
        <w:rPr>
          <w:rFonts w:ascii="Times New Roman" w:hAnsi="Times New Roman"/>
          <w:sz w:val="24"/>
          <w:szCs w:val="24"/>
        </w:rPr>
        <w:t>,</w:t>
      </w:r>
      <w:r w:rsidR="00AB5AF2">
        <w:rPr>
          <w:rFonts w:ascii="Times New Roman" w:hAnsi="Times New Roman"/>
          <w:sz w:val="24"/>
          <w:szCs w:val="24"/>
        </w:rPr>
        <w:t>5</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AB5AF2">
        <w:rPr>
          <w:rFonts w:ascii="Times New Roman" w:hAnsi="Times New Roman"/>
          <w:sz w:val="24"/>
          <w:szCs w:val="24"/>
        </w:rPr>
        <w:t>699,5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AB5AF2">
        <w:rPr>
          <w:rFonts w:ascii="Times New Roman" w:hAnsi="Times New Roman"/>
          <w:sz w:val="24"/>
          <w:szCs w:val="24"/>
        </w:rPr>
        <w:t>616,4</w:t>
      </w:r>
      <w:r w:rsidR="009F5255">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AB5AF2">
        <w:rPr>
          <w:rFonts w:ascii="Times New Roman" w:hAnsi="Times New Roman"/>
          <w:sz w:val="24"/>
          <w:szCs w:val="24"/>
        </w:rPr>
        <w:t>83,1</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AB5AF2">
        <w:rPr>
          <w:rFonts w:ascii="Times New Roman" w:hAnsi="Times New Roman"/>
          <w:sz w:val="24"/>
          <w:szCs w:val="24"/>
        </w:rPr>
        <w:t>3851,9</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AB5AF2">
        <w:rPr>
          <w:rFonts w:ascii="Times New Roman" w:hAnsi="Times New Roman"/>
          <w:sz w:val="24"/>
          <w:szCs w:val="24"/>
        </w:rPr>
        <w:t>3852,0</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AB5AF2">
        <w:rPr>
          <w:rFonts w:ascii="Times New Roman" w:hAnsi="Times New Roman"/>
          <w:sz w:val="24"/>
          <w:szCs w:val="24"/>
        </w:rPr>
        <w:t>100,0</w:t>
      </w:r>
      <w:r w:rsidRPr="00982888">
        <w:rPr>
          <w:rFonts w:ascii="Times New Roman" w:hAnsi="Times New Roman"/>
          <w:sz w:val="24"/>
          <w:szCs w:val="24"/>
        </w:rPr>
        <w:t xml:space="preserve">%.  </w:t>
      </w:r>
    </w:p>
    <w:p w:rsidR="00EC285F" w:rsidRPr="00982888" w:rsidRDefault="00EC285F" w:rsidP="006B5024">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r w:rsidR="00AB5AF2">
        <w:rPr>
          <w:rFonts w:ascii="Times New Roman" w:hAnsi="Times New Roman"/>
          <w:b/>
          <w:color w:val="000000"/>
        </w:rPr>
        <w:t>582,3</w:t>
      </w:r>
      <w:r w:rsidR="002F2A95">
        <w:rPr>
          <w:rFonts w:ascii="Times New Roman" w:hAnsi="Times New Roman"/>
          <w:b/>
          <w:color w:val="000000"/>
        </w:rPr>
        <w:t xml:space="preserve"> </w:t>
      </w:r>
      <w:proofErr w:type="spellStart"/>
      <w:r w:rsidRPr="00E749FB">
        <w:rPr>
          <w:rFonts w:ascii="Times New Roman" w:hAnsi="Times New Roman"/>
        </w:rPr>
        <w:t>тыс.руб</w:t>
      </w:r>
      <w:proofErr w:type="spellEnd"/>
      <w:r w:rsidRPr="00E749FB">
        <w:rPr>
          <w:rFonts w:ascii="Times New Roman" w:hAnsi="Times New Roman"/>
        </w:rPr>
        <w:t>., субвенции</w:t>
      </w:r>
      <w:r w:rsidR="006B5024">
        <w:rPr>
          <w:rFonts w:ascii="Times New Roman" w:hAnsi="Times New Roman"/>
        </w:rPr>
        <w:t xml:space="preserve"> </w:t>
      </w:r>
      <w:proofErr w:type="gramStart"/>
      <w:r w:rsidR="006B5024">
        <w:rPr>
          <w:rFonts w:ascii="Times New Roman" w:hAnsi="Times New Roman"/>
        </w:rPr>
        <w:t xml:space="preserve">бюджетам </w:t>
      </w:r>
      <w:r w:rsidRPr="00E749FB">
        <w:rPr>
          <w:rFonts w:ascii="Times New Roman" w:hAnsi="Times New Roman"/>
        </w:rPr>
        <w:t xml:space="preserve"> –</w:t>
      </w:r>
      <w:proofErr w:type="gramEnd"/>
      <w:r w:rsidR="00B62CE7">
        <w:rPr>
          <w:rFonts w:ascii="Times New Roman" w:hAnsi="Times New Roman"/>
        </w:rPr>
        <w:t xml:space="preserve"> </w:t>
      </w:r>
      <w:r w:rsidR="00AB5AF2">
        <w:rPr>
          <w:rFonts w:ascii="Times New Roman" w:hAnsi="Times New Roman"/>
        </w:rPr>
        <w:t>144,5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AB5AF2">
        <w:rPr>
          <w:rFonts w:ascii="Times New Roman" w:hAnsi="Times New Roman"/>
        </w:rPr>
        <w:t>129,8</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AB5AF2">
        <w:rPr>
          <w:rFonts w:ascii="Times New Roman" w:hAnsi="Times New Roman"/>
        </w:rPr>
        <w:t>14,7</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AB5AF2">
        <w:rPr>
          <w:rFonts w:ascii="Times New Roman" w:hAnsi="Times New Roman"/>
        </w:rPr>
        <w:t>1666,5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xml:space="preserve">. на </w:t>
      </w:r>
      <w:r w:rsidR="001061F6">
        <w:rPr>
          <w:rFonts w:ascii="Times New Roman" w:hAnsi="Times New Roman"/>
        </w:rPr>
        <w:t xml:space="preserve">ликвидацию ЧС </w:t>
      </w:r>
      <w:r w:rsidRPr="00E749FB">
        <w:rPr>
          <w:rFonts w:ascii="Times New Roman" w:hAnsi="Times New Roman"/>
        </w:rPr>
        <w:t xml:space="preserve"> – </w:t>
      </w:r>
      <w:r w:rsidR="00AB5AF2">
        <w:rPr>
          <w:rFonts w:ascii="Times New Roman" w:hAnsi="Times New Roman"/>
        </w:rPr>
        <w:t>6,5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на</w:t>
      </w:r>
      <w:r w:rsidR="001061F6">
        <w:rPr>
          <w:rFonts w:ascii="Times New Roman" w:hAnsi="Times New Roman"/>
        </w:rPr>
        <w:t xml:space="preserve"> ремонт памятников</w:t>
      </w:r>
      <w:r w:rsidRPr="00E749FB">
        <w:rPr>
          <w:rFonts w:ascii="Times New Roman" w:hAnsi="Times New Roman"/>
        </w:rPr>
        <w:t xml:space="preserve">– </w:t>
      </w:r>
      <w:r w:rsidR="00AB5AF2">
        <w:rPr>
          <w:rFonts w:ascii="Times New Roman" w:hAnsi="Times New Roman"/>
        </w:rPr>
        <w:t>5</w:t>
      </w:r>
      <w:r w:rsidR="00B62CE7">
        <w:rPr>
          <w:rFonts w:ascii="Times New Roman" w:hAnsi="Times New Roman"/>
        </w:rPr>
        <w:t>,0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9B1CD3">
        <w:rPr>
          <w:rFonts w:ascii="Times New Roman" w:hAnsi="Times New Roman"/>
        </w:rPr>
        <w:t xml:space="preserve">на обеспечение расчетов за </w:t>
      </w:r>
      <w:proofErr w:type="spellStart"/>
      <w:r w:rsidR="009B1CD3">
        <w:rPr>
          <w:rFonts w:ascii="Times New Roman" w:hAnsi="Times New Roman"/>
        </w:rPr>
        <w:t>топливно</w:t>
      </w:r>
      <w:proofErr w:type="spellEnd"/>
      <w:r w:rsidR="009B1CD3">
        <w:rPr>
          <w:rFonts w:ascii="Times New Roman" w:hAnsi="Times New Roman"/>
        </w:rPr>
        <w:t xml:space="preserve">–энергетические ресурсы </w:t>
      </w:r>
      <w:r w:rsidR="00AB5AF2">
        <w:rPr>
          <w:rFonts w:ascii="Times New Roman" w:hAnsi="Times New Roman"/>
        </w:rPr>
        <w:t>– 324,0</w:t>
      </w:r>
      <w:r w:rsidR="009B1CD3">
        <w:rPr>
          <w:rFonts w:ascii="Times New Roman" w:hAnsi="Times New Roman"/>
        </w:rPr>
        <w:t xml:space="preserve"> </w:t>
      </w:r>
      <w:proofErr w:type="spellStart"/>
      <w:r w:rsidR="009B1CD3">
        <w:rPr>
          <w:rFonts w:ascii="Times New Roman" w:hAnsi="Times New Roman"/>
        </w:rPr>
        <w:t>тыс.руб</w:t>
      </w:r>
      <w:proofErr w:type="spellEnd"/>
      <w:r w:rsidR="009B1CD3">
        <w:rPr>
          <w:rFonts w:ascii="Times New Roman" w:hAnsi="Times New Roman"/>
        </w:rPr>
        <w:t>,</w:t>
      </w:r>
      <w:r w:rsidR="00A60DA9">
        <w:rPr>
          <w:rFonts w:ascii="Times New Roman" w:hAnsi="Times New Roman"/>
        </w:rPr>
        <w:t xml:space="preserve"> </w:t>
      </w:r>
      <w:r w:rsidRPr="00E749FB">
        <w:rPr>
          <w:rFonts w:ascii="Times New Roman" w:hAnsi="Times New Roman"/>
        </w:rPr>
        <w:t xml:space="preserve">на содержание автомобильных дорог общего пользования за счет средств муниципального дорожного фонда – </w:t>
      </w:r>
      <w:r w:rsidR="00AB5AF2">
        <w:rPr>
          <w:rFonts w:ascii="Times New Roman" w:hAnsi="Times New Roman"/>
        </w:rPr>
        <w:t>1327,0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w:t>
      </w:r>
      <w:r w:rsidR="009B1CD3">
        <w:rPr>
          <w:rFonts w:ascii="Times New Roman" w:hAnsi="Times New Roman"/>
        </w:rPr>
        <w:t>1</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1061F6">
        <w:rPr>
          <w:rFonts w:ascii="Times New Roman" w:hAnsi="Times New Roman"/>
        </w:rPr>
        <w:t xml:space="preserve">, на </w:t>
      </w:r>
      <w:r w:rsidR="00A0363C">
        <w:rPr>
          <w:rFonts w:ascii="Times New Roman" w:hAnsi="Times New Roman"/>
        </w:rPr>
        <w:t>организацию тепло-водоснабжения  - 2,0</w:t>
      </w:r>
      <w:r w:rsidR="009B1CD3">
        <w:rPr>
          <w:rFonts w:ascii="Times New Roman" w:hAnsi="Times New Roman"/>
        </w:rPr>
        <w:t xml:space="preserve"> </w:t>
      </w:r>
      <w:proofErr w:type="spellStart"/>
      <w:r w:rsidR="00732F12">
        <w:rPr>
          <w:rFonts w:ascii="Times New Roman" w:hAnsi="Times New Roman"/>
        </w:rPr>
        <w:t>тыс.руб</w:t>
      </w:r>
      <w:proofErr w:type="spellEnd"/>
      <w:r w:rsidR="00A0363C" w:rsidRPr="00A0363C">
        <w:rPr>
          <w:rFonts w:ascii="Times New Roman" w:hAnsi="Times New Roman"/>
        </w:rPr>
        <w:t xml:space="preserve"> </w:t>
      </w:r>
      <w:r w:rsidR="00A0363C">
        <w:rPr>
          <w:rFonts w:ascii="Times New Roman" w:hAnsi="Times New Roman"/>
        </w:rPr>
        <w:t>,</w:t>
      </w:r>
      <w:r w:rsidR="009B1CD3">
        <w:rPr>
          <w:rFonts w:ascii="Times New Roman" w:hAnsi="Times New Roman"/>
        </w:rPr>
        <w:t xml:space="preserve"> </w:t>
      </w:r>
      <w:r w:rsidR="00A0363C">
        <w:rPr>
          <w:rFonts w:ascii="Times New Roman" w:hAnsi="Times New Roman"/>
        </w:rPr>
        <w:t>безвозмездные поступления в бюджет поселения -</w:t>
      </w:r>
      <w:r w:rsidR="00AB5AF2">
        <w:rPr>
          <w:rFonts w:ascii="Times New Roman" w:hAnsi="Times New Roman"/>
        </w:rPr>
        <w:t>51,6</w:t>
      </w:r>
      <w:r w:rsidR="00A0363C">
        <w:rPr>
          <w:rFonts w:ascii="Times New Roman" w:hAnsi="Times New Roman"/>
        </w:rPr>
        <w:t xml:space="preserve"> </w:t>
      </w:r>
      <w:proofErr w:type="spellStart"/>
      <w:r w:rsidR="00A0363C">
        <w:rPr>
          <w:rFonts w:ascii="Times New Roman" w:hAnsi="Times New Roman"/>
        </w:rPr>
        <w:t>тыс.руб</w:t>
      </w:r>
      <w:proofErr w:type="spellEnd"/>
      <w:r w:rsidR="00A0363C">
        <w:rPr>
          <w:rFonts w:ascii="Times New Roman" w:hAnsi="Times New Roman"/>
        </w:rPr>
        <w:t>.</w:t>
      </w:r>
      <w:r w:rsidR="00B62CE7" w:rsidRPr="00B62CE7">
        <w:rPr>
          <w:rFonts w:ascii="Times New Roman" w:hAnsi="Times New Roman"/>
        </w:rPr>
        <w:t xml:space="preserve"> </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AB2159">
        <w:rPr>
          <w:rFonts w:ascii="Times New Roman" w:hAnsi="Times New Roman"/>
          <w:b/>
          <w:sz w:val="24"/>
          <w:szCs w:val="24"/>
        </w:rPr>
        <w:t>4449,2</w:t>
      </w:r>
      <w:r w:rsidR="009B1CD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AB2159">
        <w:rPr>
          <w:rFonts w:ascii="Times New Roman" w:hAnsi="Times New Roman"/>
          <w:sz w:val="24"/>
          <w:szCs w:val="24"/>
        </w:rPr>
        <w:t>4529,7</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CC2B18">
        <w:rPr>
          <w:rFonts w:ascii="Times New Roman" w:hAnsi="Times New Roman"/>
          <w:sz w:val="24"/>
          <w:szCs w:val="24"/>
        </w:rPr>
        <w:t>98,2</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году занимают</w:t>
      </w:r>
      <w:r w:rsidR="005F5A9D" w:rsidRPr="005F5A9D">
        <w:rPr>
          <w:rFonts w:ascii="Times New Roman" w:hAnsi="Times New Roman"/>
          <w:sz w:val="24"/>
          <w:szCs w:val="24"/>
        </w:rPr>
        <w:t xml:space="preserve"> </w:t>
      </w:r>
      <w:r w:rsidR="00D955C7">
        <w:rPr>
          <w:rFonts w:ascii="Times New Roman" w:hAnsi="Times New Roman"/>
          <w:sz w:val="24"/>
          <w:szCs w:val="24"/>
        </w:rPr>
        <w:t xml:space="preserve">расходы </w:t>
      </w:r>
      <w:r w:rsidR="00CC2B18" w:rsidRPr="00982888">
        <w:rPr>
          <w:rFonts w:ascii="Times New Roman" w:hAnsi="Times New Roman"/>
          <w:sz w:val="24"/>
          <w:szCs w:val="24"/>
        </w:rPr>
        <w:t>в области культуры и кинематографии –</w:t>
      </w:r>
      <w:r w:rsidR="00CC2B18">
        <w:rPr>
          <w:rFonts w:ascii="Times New Roman" w:hAnsi="Times New Roman"/>
          <w:sz w:val="24"/>
          <w:szCs w:val="24"/>
        </w:rPr>
        <w:t xml:space="preserve"> 2186,9 </w:t>
      </w:r>
      <w:proofErr w:type="spellStart"/>
      <w:proofErr w:type="gramStart"/>
      <w:r w:rsidR="00CC2B18" w:rsidRPr="006B5024">
        <w:rPr>
          <w:rFonts w:ascii="Times New Roman" w:hAnsi="Times New Roman"/>
          <w:sz w:val="24"/>
          <w:szCs w:val="24"/>
        </w:rPr>
        <w:t>тыс.руб</w:t>
      </w:r>
      <w:proofErr w:type="spellEnd"/>
      <w:proofErr w:type="gramEnd"/>
      <w:r w:rsidR="00CC2B18">
        <w:rPr>
          <w:rFonts w:ascii="Times New Roman" w:hAnsi="Times New Roman"/>
          <w:b/>
          <w:sz w:val="24"/>
          <w:szCs w:val="24"/>
        </w:rPr>
        <w:t xml:space="preserve"> </w:t>
      </w:r>
      <w:r w:rsidR="00CC2B18">
        <w:rPr>
          <w:rFonts w:ascii="Times New Roman" w:hAnsi="Times New Roman"/>
          <w:sz w:val="24"/>
          <w:szCs w:val="24"/>
        </w:rPr>
        <w:t xml:space="preserve">и составляют 49,1 </w:t>
      </w:r>
      <w:r w:rsidR="00CC2B18" w:rsidRPr="00982888">
        <w:rPr>
          <w:rFonts w:ascii="Times New Roman" w:hAnsi="Times New Roman"/>
          <w:sz w:val="24"/>
          <w:szCs w:val="24"/>
        </w:rPr>
        <w:t xml:space="preserve">%, </w:t>
      </w:r>
      <w:r w:rsidR="00CC2B18">
        <w:rPr>
          <w:rFonts w:ascii="Times New Roman" w:hAnsi="Times New Roman"/>
          <w:sz w:val="24"/>
          <w:szCs w:val="24"/>
        </w:rPr>
        <w:t>ж</w:t>
      </w:r>
      <w:r w:rsidR="00D955C7" w:rsidRPr="00982888">
        <w:rPr>
          <w:rFonts w:ascii="Times New Roman" w:hAnsi="Times New Roman"/>
          <w:sz w:val="24"/>
          <w:szCs w:val="24"/>
        </w:rPr>
        <w:t xml:space="preserve">илищно-коммунальное хозяйство </w:t>
      </w:r>
      <w:r w:rsidR="00D955C7">
        <w:rPr>
          <w:rFonts w:ascii="Times New Roman" w:hAnsi="Times New Roman"/>
          <w:sz w:val="24"/>
          <w:szCs w:val="24"/>
        </w:rPr>
        <w:t xml:space="preserve"> </w:t>
      </w:r>
      <w:r w:rsidR="00B63564">
        <w:rPr>
          <w:rFonts w:ascii="Times New Roman" w:hAnsi="Times New Roman"/>
          <w:sz w:val="24"/>
          <w:szCs w:val="24"/>
        </w:rPr>
        <w:t xml:space="preserve">- </w:t>
      </w:r>
      <w:r w:rsidR="00CC2B18">
        <w:rPr>
          <w:rFonts w:ascii="Times New Roman" w:hAnsi="Times New Roman"/>
          <w:b/>
          <w:sz w:val="24"/>
          <w:szCs w:val="24"/>
        </w:rPr>
        <w:t xml:space="preserve">21,1 </w:t>
      </w:r>
      <w:proofErr w:type="spellStart"/>
      <w:r w:rsidR="00D955C7">
        <w:rPr>
          <w:rFonts w:ascii="Times New Roman" w:hAnsi="Times New Roman"/>
          <w:sz w:val="24"/>
          <w:szCs w:val="24"/>
        </w:rPr>
        <w:t>тыс.руб</w:t>
      </w:r>
      <w:proofErr w:type="spellEnd"/>
      <w:r w:rsidR="00D955C7">
        <w:rPr>
          <w:rFonts w:ascii="Times New Roman" w:hAnsi="Times New Roman"/>
          <w:sz w:val="24"/>
          <w:szCs w:val="24"/>
        </w:rPr>
        <w:t>,</w:t>
      </w:r>
      <w:r w:rsidR="00D955C7" w:rsidRPr="006B5024">
        <w:rPr>
          <w:rFonts w:ascii="Times New Roman" w:hAnsi="Times New Roman"/>
          <w:sz w:val="24"/>
          <w:szCs w:val="24"/>
        </w:rPr>
        <w:t xml:space="preserve"> </w:t>
      </w:r>
      <w:r w:rsidR="00D955C7">
        <w:rPr>
          <w:rFonts w:ascii="Times New Roman" w:hAnsi="Times New Roman"/>
          <w:sz w:val="24"/>
          <w:szCs w:val="24"/>
        </w:rPr>
        <w:t xml:space="preserve">и составляют </w:t>
      </w:r>
      <w:r w:rsidR="00CC2B18">
        <w:rPr>
          <w:rFonts w:ascii="Times New Roman" w:hAnsi="Times New Roman"/>
          <w:sz w:val="24"/>
          <w:szCs w:val="24"/>
        </w:rPr>
        <w:t>0,4</w:t>
      </w:r>
      <w:r w:rsidR="00B63564">
        <w:rPr>
          <w:rFonts w:ascii="Times New Roman" w:hAnsi="Times New Roman"/>
          <w:sz w:val="24"/>
          <w:szCs w:val="24"/>
        </w:rPr>
        <w:t xml:space="preserve"> </w:t>
      </w:r>
      <w:r w:rsidR="00D955C7" w:rsidRPr="00982888">
        <w:rPr>
          <w:rFonts w:ascii="Times New Roman" w:hAnsi="Times New Roman"/>
          <w:sz w:val="24"/>
          <w:szCs w:val="24"/>
        </w:rPr>
        <w:t>%</w:t>
      </w:r>
      <w:r w:rsidR="00D955C7">
        <w:rPr>
          <w:rFonts w:ascii="Times New Roman" w:hAnsi="Times New Roman"/>
          <w:sz w:val="24"/>
          <w:szCs w:val="24"/>
        </w:rPr>
        <w:t>, о</w:t>
      </w:r>
      <w:r w:rsidR="005F5A9D" w:rsidRPr="00982888">
        <w:rPr>
          <w:rFonts w:ascii="Times New Roman" w:hAnsi="Times New Roman"/>
          <w:sz w:val="24"/>
          <w:szCs w:val="24"/>
        </w:rPr>
        <w:t xml:space="preserve">бщегосударственные расходы </w:t>
      </w:r>
      <w:r w:rsidR="00B63564">
        <w:rPr>
          <w:rFonts w:ascii="Times New Roman" w:hAnsi="Times New Roman"/>
          <w:sz w:val="24"/>
          <w:szCs w:val="24"/>
        </w:rPr>
        <w:t xml:space="preserve">– </w:t>
      </w:r>
      <w:r w:rsidR="00CC2B18">
        <w:rPr>
          <w:rFonts w:ascii="Times New Roman" w:hAnsi="Times New Roman"/>
          <w:sz w:val="24"/>
          <w:szCs w:val="24"/>
        </w:rPr>
        <w:t>814,7</w:t>
      </w:r>
      <w:r w:rsidR="005F5A9D">
        <w:rPr>
          <w:rFonts w:ascii="Times New Roman" w:hAnsi="Times New Roman"/>
          <w:sz w:val="24"/>
          <w:szCs w:val="24"/>
        </w:rPr>
        <w:t xml:space="preserve"> </w:t>
      </w:r>
      <w:proofErr w:type="spellStart"/>
      <w:r w:rsidR="005F5A9D">
        <w:rPr>
          <w:rFonts w:ascii="Times New Roman" w:hAnsi="Times New Roman"/>
          <w:sz w:val="24"/>
          <w:szCs w:val="24"/>
        </w:rPr>
        <w:t>тыс.руб</w:t>
      </w:r>
      <w:proofErr w:type="spellEnd"/>
      <w:r w:rsidR="005F5A9D">
        <w:rPr>
          <w:rFonts w:ascii="Times New Roman" w:hAnsi="Times New Roman"/>
          <w:sz w:val="24"/>
          <w:szCs w:val="24"/>
        </w:rPr>
        <w:t>,</w:t>
      </w:r>
      <w:r w:rsidR="005F5A9D" w:rsidRPr="00982888">
        <w:rPr>
          <w:rFonts w:ascii="Times New Roman" w:hAnsi="Times New Roman"/>
          <w:sz w:val="24"/>
          <w:szCs w:val="24"/>
        </w:rPr>
        <w:t xml:space="preserve"> </w:t>
      </w:r>
      <w:r w:rsidR="005F5A9D">
        <w:rPr>
          <w:rFonts w:ascii="Times New Roman" w:hAnsi="Times New Roman"/>
          <w:sz w:val="24"/>
          <w:szCs w:val="24"/>
        </w:rPr>
        <w:t xml:space="preserve">и составляют </w:t>
      </w:r>
      <w:r w:rsidR="00CC2B18">
        <w:rPr>
          <w:rFonts w:ascii="Times New Roman" w:hAnsi="Times New Roman"/>
          <w:sz w:val="24"/>
          <w:szCs w:val="24"/>
        </w:rPr>
        <w:t>18,3</w:t>
      </w:r>
      <w:r w:rsidR="005F5A9D">
        <w:rPr>
          <w:rFonts w:ascii="Times New Roman" w:hAnsi="Times New Roman"/>
          <w:sz w:val="24"/>
          <w:szCs w:val="24"/>
        </w:rPr>
        <w:t xml:space="preserve"> </w:t>
      </w:r>
      <w:r w:rsidR="005F5A9D" w:rsidRPr="00982888">
        <w:rPr>
          <w:rFonts w:ascii="Times New Roman" w:hAnsi="Times New Roman"/>
          <w:sz w:val="24"/>
          <w:szCs w:val="24"/>
        </w:rPr>
        <w:t xml:space="preserve">%, </w:t>
      </w:r>
      <w:r w:rsidRPr="00982888">
        <w:rPr>
          <w:rFonts w:ascii="Times New Roman" w:hAnsi="Times New Roman"/>
          <w:sz w:val="24"/>
          <w:szCs w:val="24"/>
        </w:rPr>
        <w:t xml:space="preserve">национальная экономика </w:t>
      </w:r>
      <w:r w:rsidR="00CC2B18">
        <w:rPr>
          <w:rFonts w:ascii="Times New Roman" w:hAnsi="Times New Roman"/>
          <w:sz w:val="24"/>
          <w:szCs w:val="24"/>
        </w:rPr>
        <w:t>1290,2</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CC2B18">
        <w:rPr>
          <w:rFonts w:ascii="Times New Roman" w:hAnsi="Times New Roman"/>
          <w:sz w:val="24"/>
          <w:szCs w:val="24"/>
        </w:rPr>
        <w:t>28,9</w:t>
      </w:r>
      <w:r w:rsidR="005F5A9D">
        <w:rPr>
          <w:rFonts w:ascii="Times New Roman" w:hAnsi="Times New Roman"/>
          <w:sz w:val="24"/>
          <w:szCs w:val="24"/>
        </w:rPr>
        <w:t xml:space="preserve"> </w:t>
      </w:r>
      <w:r w:rsidRPr="00982888">
        <w:rPr>
          <w:rFonts w:ascii="Times New Roman" w:hAnsi="Times New Roman"/>
          <w:sz w:val="24"/>
          <w:szCs w:val="24"/>
        </w:rPr>
        <w:t>%,</w:t>
      </w:r>
      <w:r w:rsidR="006B5024">
        <w:rPr>
          <w:rFonts w:ascii="Times New Roman" w:hAnsi="Times New Roman"/>
          <w:sz w:val="24"/>
          <w:szCs w:val="24"/>
        </w:rPr>
        <w:t xml:space="preserve">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E449F0">
        <w:rPr>
          <w:rStyle w:val="4"/>
          <w:b w:val="0"/>
          <w:bCs w:val="0"/>
          <w:color w:val="000000"/>
          <w:sz w:val="24"/>
          <w:szCs w:val="24"/>
        </w:rPr>
        <w:t>Гоношихинского</w:t>
      </w:r>
      <w:proofErr w:type="spellEnd"/>
      <w:r w:rsidR="00E449F0"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AB2159">
        <w:rPr>
          <w:rFonts w:ascii="Times New Roman" w:hAnsi="Times New Roman"/>
          <w:color w:val="000000"/>
          <w:spacing w:val="3"/>
          <w:sz w:val="24"/>
          <w:szCs w:val="24"/>
        </w:rPr>
        <w:t>129,8</w:t>
      </w:r>
      <w:r w:rsidR="00B63564">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922DCD">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E449F0" w:rsidP="002C3F8A">
            <w:pPr>
              <w:jc w:val="center"/>
              <w:rPr>
                <w:rFonts w:ascii="Times New Roman" w:hAnsi="Times New Roman"/>
                <w:b/>
                <w:sz w:val="24"/>
                <w:szCs w:val="24"/>
              </w:rPr>
            </w:pPr>
            <w:r>
              <w:rPr>
                <w:rFonts w:ascii="Times New Roman" w:hAnsi="Times New Roman"/>
                <w:b/>
                <w:sz w:val="24"/>
                <w:szCs w:val="24"/>
              </w:rPr>
              <w:t>815,0</w:t>
            </w:r>
          </w:p>
        </w:tc>
        <w:tc>
          <w:tcPr>
            <w:tcW w:w="1254" w:type="dxa"/>
          </w:tcPr>
          <w:p w:rsidR="00EC285F" w:rsidRPr="00982888" w:rsidRDefault="00E449F0" w:rsidP="00AB2159">
            <w:pPr>
              <w:jc w:val="center"/>
              <w:rPr>
                <w:rFonts w:ascii="Times New Roman" w:hAnsi="Times New Roman"/>
                <w:b/>
                <w:sz w:val="24"/>
                <w:szCs w:val="24"/>
              </w:rPr>
            </w:pPr>
            <w:r>
              <w:rPr>
                <w:rFonts w:ascii="Times New Roman" w:hAnsi="Times New Roman"/>
                <w:b/>
                <w:sz w:val="24"/>
                <w:szCs w:val="24"/>
              </w:rPr>
              <w:t>814,</w:t>
            </w:r>
            <w:r w:rsidR="00AB2159">
              <w:rPr>
                <w:rFonts w:ascii="Times New Roman" w:hAnsi="Times New Roman"/>
                <w:b/>
                <w:sz w:val="24"/>
                <w:szCs w:val="24"/>
              </w:rPr>
              <w:t>6</w:t>
            </w:r>
          </w:p>
        </w:tc>
        <w:tc>
          <w:tcPr>
            <w:tcW w:w="1404" w:type="dxa"/>
          </w:tcPr>
          <w:p w:rsidR="00EC285F" w:rsidRPr="00982888" w:rsidRDefault="003D1169" w:rsidP="00AB2159">
            <w:pPr>
              <w:jc w:val="center"/>
              <w:rPr>
                <w:rFonts w:ascii="Times New Roman" w:hAnsi="Times New Roman"/>
                <w:sz w:val="24"/>
                <w:szCs w:val="24"/>
              </w:rPr>
            </w:pPr>
            <w:r>
              <w:rPr>
                <w:rFonts w:ascii="Times New Roman" w:hAnsi="Times New Roman"/>
                <w:sz w:val="24"/>
                <w:szCs w:val="24"/>
              </w:rPr>
              <w:t>0,</w:t>
            </w:r>
            <w:r w:rsidR="00AB2159">
              <w:rPr>
                <w:rFonts w:ascii="Times New Roman" w:hAnsi="Times New Roman"/>
                <w:sz w:val="24"/>
                <w:szCs w:val="24"/>
              </w:rPr>
              <w:t>4</w:t>
            </w:r>
          </w:p>
        </w:tc>
        <w:tc>
          <w:tcPr>
            <w:tcW w:w="843" w:type="dxa"/>
          </w:tcPr>
          <w:p w:rsidR="00EC285F" w:rsidRPr="00982888" w:rsidRDefault="003D1169"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E449F0" w:rsidP="006F6473">
            <w:pPr>
              <w:jc w:val="center"/>
              <w:rPr>
                <w:rFonts w:ascii="Times New Roman" w:hAnsi="Times New Roman"/>
                <w:b/>
                <w:sz w:val="24"/>
                <w:szCs w:val="24"/>
              </w:rPr>
            </w:pPr>
            <w:r>
              <w:rPr>
                <w:rFonts w:ascii="Times New Roman" w:hAnsi="Times New Roman"/>
                <w:b/>
                <w:sz w:val="24"/>
                <w:szCs w:val="24"/>
              </w:rPr>
              <w:t>129,8</w:t>
            </w:r>
          </w:p>
        </w:tc>
        <w:tc>
          <w:tcPr>
            <w:tcW w:w="1254" w:type="dxa"/>
          </w:tcPr>
          <w:p w:rsidR="00EC285F" w:rsidRPr="00982888" w:rsidRDefault="00E449F0" w:rsidP="006F6473">
            <w:pPr>
              <w:jc w:val="center"/>
              <w:rPr>
                <w:rFonts w:ascii="Times New Roman" w:hAnsi="Times New Roman"/>
                <w:b/>
                <w:sz w:val="24"/>
                <w:szCs w:val="24"/>
              </w:rPr>
            </w:pPr>
            <w:r>
              <w:rPr>
                <w:rFonts w:ascii="Times New Roman" w:hAnsi="Times New Roman"/>
                <w:b/>
                <w:sz w:val="24"/>
                <w:szCs w:val="24"/>
              </w:rPr>
              <w:t>129,8</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AB2159" w:rsidP="00AB2159">
            <w:pPr>
              <w:jc w:val="center"/>
              <w:rPr>
                <w:rFonts w:ascii="Times New Roman" w:hAnsi="Times New Roman"/>
                <w:b/>
                <w:sz w:val="24"/>
                <w:szCs w:val="24"/>
              </w:rPr>
            </w:pPr>
            <w:r>
              <w:rPr>
                <w:rFonts w:ascii="Times New Roman" w:hAnsi="Times New Roman"/>
                <w:b/>
                <w:sz w:val="24"/>
                <w:szCs w:val="24"/>
              </w:rPr>
              <w:t>6,5</w:t>
            </w:r>
          </w:p>
        </w:tc>
        <w:tc>
          <w:tcPr>
            <w:tcW w:w="1254" w:type="dxa"/>
          </w:tcPr>
          <w:p w:rsidR="00EC285F" w:rsidRPr="00982888" w:rsidRDefault="00AB2159" w:rsidP="00AB2159">
            <w:pPr>
              <w:jc w:val="center"/>
              <w:rPr>
                <w:rFonts w:ascii="Times New Roman" w:hAnsi="Times New Roman"/>
                <w:b/>
                <w:sz w:val="24"/>
                <w:szCs w:val="24"/>
              </w:rPr>
            </w:pPr>
            <w:r>
              <w:rPr>
                <w:rFonts w:ascii="Times New Roman" w:hAnsi="Times New Roman"/>
                <w:b/>
                <w:sz w:val="24"/>
                <w:szCs w:val="24"/>
              </w:rPr>
              <w:t>6,5</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E449F0" w:rsidP="0046549F">
            <w:pPr>
              <w:jc w:val="center"/>
              <w:rPr>
                <w:rFonts w:ascii="Times New Roman" w:hAnsi="Times New Roman"/>
                <w:b/>
                <w:sz w:val="24"/>
                <w:szCs w:val="24"/>
              </w:rPr>
            </w:pPr>
            <w:r>
              <w:rPr>
                <w:rFonts w:ascii="Times New Roman" w:hAnsi="Times New Roman"/>
                <w:b/>
                <w:sz w:val="24"/>
                <w:szCs w:val="24"/>
              </w:rPr>
              <w:t>1369,9</w:t>
            </w:r>
          </w:p>
        </w:tc>
        <w:tc>
          <w:tcPr>
            <w:tcW w:w="1254" w:type="dxa"/>
          </w:tcPr>
          <w:p w:rsidR="00EC285F" w:rsidRPr="00982888" w:rsidRDefault="00E449F0" w:rsidP="00A14F38">
            <w:pPr>
              <w:jc w:val="center"/>
              <w:rPr>
                <w:rFonts w:ascii="Times New Roman" w:hAnsi="Times New Roman"/>
                <w:b/>
                <w:sz w:val="24"/>
                <w:szCs w:val="24"/>
              </w:rPr>
            </w:pPr>
            <w:r>
              <w:rPr>
                <w:rFonts w:ascii="Times New Roman" w:hAnsi="Times New Roman"/>
                <w:b/>
                <w:sz w:val="24"/>
                <w:szCs w:val="24"/>
              </w:rPr>
              <w:t>1290,2</w:t>
            </w:r>
          </w:p>
        </w:tc>
        <w:tc>
          <w:tcPr>
            <w:tcW w:w="1404" w:type="dxa"/>
          </w:tcPr>
          <w:p w:rsidR="00EC285F" w:rsidRPr="00982888" w:rsidRDefault="00AB2159" w:rsidP="0046549F">
            <w:pPr>
              <w:jc w:val="center"/>
              <w:rPr>
                <w:rFonts w:ascii="Times New Roman" w:hAnsi="Times New Roman"/>
                <w:sz w:val="24"/>
                <w:szCs w:val="24"/>
              </w:rPr>
            </w:pPr>
            <w:r>
              <w:rPr>
                <w:rFonts w:ascii="Times New Roman" w:hAnsi="Times New Roman"/>
                <w:sz w:val="24"/>
                <w:szCs w:val="24"/>
              </w:rPr>
              <w:t>79,7</w:t>
            </w:r>
          </w:p>
        </w:tc>
        <w:tc>
          <w:tcPr>
            <w:tcW w:w="843" w:type="dxa"/>
          </w:tcPr>
          <w:p w:rsidR="00EC285F" w:rsidRPr="00982888" w:rsidRDefault="00AB2159" w:rsidP="0046549F">
            <w:pPr>
              <w:jc w:val="center"/>
              <w:rPr>
                <w:rFonts w:ascii="Times New Roman" w:hAnsi="Times New Roman"/>
                <w:sz w:val="24"/>
                <w:szCs w:val="24"/>
              </w:rPr>
            </w:pPr>
            <w:r>
              <w:rPr>
                <w:rFonts w:ascii="Times New Roman" w:hAnsi="Times New Roman"/>
                <w:sz w:val="24"/>
                <w:szCs w:val="24"/>
              </w:rPr>
              <w:t>94,1</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E449F0" w:rsidP="00145250">
            <w:pPr>
              <w:jc w:val="center"/>
              <w:rPr>
                <w:rFonts w:ascii="Times New Roman" w:hAnsi="Times New Roman"/>
                <w:b/>
                <w:sz w:val="24"/>
                <w:szCs w:val="24"/>
              </w:rPr>
            </w:pPr>
            <w:r>
              <w:rPr>
                <w:rFonts w:ascii="Times New Roman" w:hAnsi="Times New Roman"/>
                <w:b/>
                <w:sz w:val="24"/>
                <w:szCs w:val="24"/>
              </w:rPr>
              <w:t>21,1</w:t>
            </w:r>
          </w:p>
        </w:tc>
        <w:tc>
          <w:tcPr>
            <w:tcW w:w="1254" w:type="dxa"/>
          </w:tcPr>
          <w:p w:rsidR="00EC285F" w:rsidRPr="00982888" w:rsidRDefault="00E449F0" w:rsidP="00AB2159">
            <w:pPr>
              <w:jc w:val="center"/>
              <w:rPr>
                <w:rFonts w:ascii="Times New Roman" w:hAnsi="Times New Roman"/>
                <w:b/>
                <w:sz w:val="24"/>
                <w:szCs w:val="24"/>
              </w:rPr>
            </w:pPr>
            <w:r>
              <w:rPr>
                <w:rFonts w:ascii="Times New Roman" w:hAnsi="Times New Roman"/>
                <w:b/>
                <w:sz w:val="24"/>
                <w:szCs w:val="24"/>
              </w:rPr>
              <w:t>21</w:t>
            </w:r>
            <w:r w:rsidR="00AB2159">
              <w:rPr>
                <w:rFonts w:ascii="Times New Roman" w:hAnsi="Times New Roman"/>
                <w:b/>
                <w:sz w:val="24"/>
                <w:szCs w:val="24"/>
              </w:rPr>
              <w:t>,1</w:t>
            </w:r>
          </w:p>
        </w:tc>
        <w:tc>
          <w:tcPr>
            <w:tcW w:w="1404" w:type="dxa"/>
          </w:tcPr>
          <w:p w:rsidR="00EC285F" w:rsidRPr="00982888" w:rsidRDefault="00A14F38" w:rsidP="00AB2159">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AB2159" w:rsidP="0046549F">
            <w:pPr>
              <w:jc w:val="center"/>
              <w:rPr>
                <w:rFonts w:ascii="Times New Roman" w:hAnsi="Times New Roman"/>
                <w:b/>
                <w:sz w:val="24"/>
                <w:szCs w:val="24"/>
              </w:rPr>
            </w:pPr>
            <w:r>
              <w:rPr>
                <w:rFonts w:ascii="Times New Roman" w:hAnsi="Times New Roman"/>
                <w:b/>
                <w:sz w:val="24"/>
                <w:szCs w:val="24"/>
              </w:rPr>
              <w:t>2187,4</w:t>
            </w:r>
          </w:p>
        </w:tc>
        <w:tc>
          <w:tcPr>
            <w:tcW w:w="1254" w:type="dxa"/>
          </w:tcPr>
          <w:p w:rsidR="00EC285F" w:rsidRPr="00982888" w:rsidRDefault="00AB2159" w:rsidP="00607430">
            <w:pPr>
              <w:jc w:val="center"/>
              <w:rPr>
                <w:rFonts w:ascii="Times New Roman" w:hAnsi="Times New Roman"/>
                <w:b/>
                <w:sz w:val="24"/>
                <w:szCs w:val="24"/>
              </w:rPr>
            </w:pPr>
            <w:r>
              <w:rPr>
                <w:rFonts w:ascii="Times New Roman" w:hAnsi="Times New Roman"/>
                <w:b/>
                <w:sz w:val="24"/>
                <w:szCs w:val="24"/>
              </w:rPr>
              <w:t>2186,9</w:t>
            </w:r>
          </w:p>
        </w:tc>
        <w:tc>
          <w:tcPr>
            <w:tcW w:w="1404" w:type="dxa"/>
          </w:tcPr>
          <w:p w:rsidR="00EC285F" w:rsidRPr="00982888" w:rsidRDefault="0085550B" w:rsidP="00AB2159">
            <w:pPr>
              <w:jc w:val="center"/>
              <w:rPr>
                <w:rFonts w:ascii="Times New Roman" w:hAnsi="Times New Roman"/>
                <w:sz w:val="24"/>
                <w:szCs w:val="24"/>
              </w:rPr>
            </w:pPr>
            <w:r>
              <w:rPr>
                <w:rFonts w:ascii="Times New Roman" w:hAnsi="Times New Roman"/>
                <w:sz w:val="24"/>
                <w:szCs w:val="24"/>
              </w:rPr>
              <w:t>0,</w:t>
            </w:r>
            <w:r w:rsidR="00AB2159">
              <w:rPr>
                <w:rFonts w:ascii="Times New Roman" w:hAnsi="Times New Roman"/>
                <w:sz w:val="24"/>
                <w:szCs w:val="24"/>
              </w:rPr>
              <w:t>5</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922DCD">
              <w:rPr>
                <w:rFonts w:ascii="Times New Roman" w:hAnsi="Times New Roman"/>
                <w:sz w:val="24"/>
                <w:szCs w:val="24"/>
              </w:rPr>
              <w:t>00</w:t>
            </w:r>
          </w:p>
        </w:tc>
        <w:tc>
          <w:tcPr>
            <w:tcW w:w="1385" w:type="dxa"/>
          </w:tcPr>
          <w:p w:rsidR="00EC285F" w:rsidRPr="00982888" w:rsidRDefault="00AB2159"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AB2159" w:rsidP="003D1169">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E449F0" w:rsidP="00145250">
            <w:pPr>
              <w:jc w:val="center"/>
              <w:rPr>
                <w:rFonts w:ascii="Times New Roman" w:hAnsi="Times New Roman"/>
                <w:b/>
                <w:sz w:val="24"/>
                <w:szCs w:val="24"/>
              </w:rPr>
            </w:pPr>
            <w:r>
              <w:rPr>
                <w:rFonts w:ascii="Times New Roman" w:hAnsi="Times New Roman"/>
                <w:b/>
                <w:sz w:val="24"/>
                <w:szCs w:val="24"/>
              </w:rPr>
              <w:t>4529,7</w:t>
            </w:r>
          </w:p>
        </w:tc>
        <w:tc>
          <w:tcPr>
            <w:tcW w:w="1254" w:type="dxa"/>
          </w:tcPr>
          <w:p w:rsidR="00EC285F" w:rsidRPr="006443ED" w:rsidRDefault="00E449F0" w:rsidP="00B63564">
            <w:pPr>
              <w:jc w:val="center"/>
              <w:rPr>
                <w:rFonts w:ascii="Times New Roman" w:hAnsi="Times New Roman"/>
                <w:b/>
                <w:sz w:val="24"/>
                <w:szCs w:val="24"/>
              </w:rPr>
            </w:pPr>
            <w:r>
              <w:rPr>
                <w:rFonts w:ascii="Times New Roman" w:hAnsi="Times New Roman"/>
                <w:b/>
                <w:sz w:val="24"/>
                <w:szCs w:val="24"/>
              </w:rPr>
              <w:t>4449,1</w:t>
            </w:r>
          </w:p>
        </w:tc>
        <w:tc>
          <w:tcPr>
            <w:tcW w:w="1404" w:type="dxa"/>
          </w:tcPr>
          <w:p w:rsidR="00EC285F" w:rsidRPr="006443ED" w:rsidRDefault="00AB2159" w:rsidP="00B63564">
            <w:pPr>
              <w:jc w:val="center"/>
              <w:rPr>
                <w:rFonts w:ascii="Times New Roman" w:hAnsi="Times New Roman"/>
                <w:b/>
                <w:sz w:val="24"/>
                <w:szCs w:val="24"/>
              </w:rPr>
            </w:pPr>
            <w:r>
              <w:rPr>
                <w:rFonts w:ascii="Times New Roman" w:hAnsi="Times New Roman"/>
                <w:b/>
                <w:sz w:val="24"/>
                <w:szCs w:val="24"/>
              </w:rPr>
              <w:t>80,6</w:t>
            </w:r>
          </w:p>
        </w:tc>
        <w:tc>
          <w:tcPr>
            <w:tcW w:w="843" w:type="dxa"/>
          </w:tcPr>
          <w:p w:rsidR="00EC285F" w:rsidRPr="00982888" w:rsidRDefault="00B63564" w:rsidP="00AB2159">
            <w:pPr>
              <w:jc w:val="center"/>
              <w:rPr>
                <w:rFonts w:ascii="Times New Roman" w:hAnsi="Times New Roman"/>
                <w:sz w:val="24"/>
                <w:szCs w:val="24"/>
              </w:rPr>
            </w:pPr>
            <w:r>
              <w:rPr>
                <w:rFonts w:ascii="Times New Roman" w:hAnsi="Times New Roman"/>
                <w:sz w:val="24"/>
                <w:szCs w:val="24"/>
              </w:rPr>
              <w:t>9</w:t>
            </w:r>
            <w:r w:rsidR="00AB2159">
              <w:rPr>
                <w:rFonts w:ascii="Times New Roman" w:hAnsi="Times New Roman"/>
                <w:sz w:val="24"/>
                <w:szCs w:val="24"/>
              </w:rPr>
              <w:t>8</w:t>
            </w:r>
            <w:r>
              <w:rPr>
                <w:rFonts w:ascii="Times New Roman" w:hAnsi="Times New Roman"/>
                <w:sz w:val="24"/>
                <w:szCs w:val="24"/>
              </w:rPr>
              <w:t>,</w:t>
            </w:r>
            <w:r w:rsidR="00AB2159">
              <w:rPr>
                <w:rFonts w:ascii="Times New Roman" w:hAnsi="Times New Roman"/>
                <w:sz w:val="24"/>
                <w:szCs w:val="24"/>
              </w:rPr>
              <w:t>2</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Отчет об исполнении бюджета муниципального образования</w:t>
      </w:r>
      <w:r w:rsidR="006F6473" w:rsidRPr="006F6473">
        <w:rPr>
          <w:rStyle w:val="4"/>
          <w:b w:val="0"/>
          <w:bCs w:val="0"/>
          <w:color w:val="000000"/>
          <w:sz w:val="24"/>
          <w:szCs w:val="24"/>
        </w:rPr>
        <w:t xml:space="preserve"> </w:t>
      </w:r>
      <w:proofErr w:type="spellStart"/>
      <w:r w:rsidR="00E449F0">
        <w:rPr>
          <w:rStyle w:val="4"/>
          <w:b w:val="0"/>
          <w:bCs w:val="0"/>
          <w:color w:val="000000"/>
          <w:sz w:val="24"/>
          <w:szCs w:val="24"/>
        </w:rPr>
        <w:t>Гоношихинского</w:t>
      </w:r>
      <w:proofErr w:type="spellEnd"/>
      <w:r w:rsidR="00E449F0"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C41CEB" w:rsidRPr="00C41CEB">
        <w:rPr>
          <w:rStyle w:val="4"/>
          <w:b w:val="0"/>
          <w:bCs w:val="0"/>
          <w:sz w:val="24"/>
          <w:szCs w:val="24"/>
        </w:rPr>
        <w:t xml:space="preserve"> </w:t>
      </w:r>
      <w:proofErr w:type="spellStart"/>
      <w:r w:rsidR="00E449F0">
        <w:rPr>
          <w:rStyle w:val="4"/>
          <w:b w:val="0"/>
          <w:bCs w:val="0"/>
          <w:sz w:val="24"/>
          <w:szCs w:val="24"/>
        </w:rPr>
        <w:t>Гоношихинского</w:t>
      </w:r>
      <w:proofErr w:type="spellEnd"/>
      <w:r w:rsidR="00E449F0">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E449F0">
        <w:rPr>
          <w:rStyle w:val="4"/>
          <w:b w:val="0"/>
          <w:bCs w:val="0"/>
          <w:sz w:val="24"/>
          <w:szCs w:val="24"/>
        </w:rPr>
        <w:t>Гоношихинского</w:t>
      </w:r>
      <w:proofErr w:type="spellEnd"/>
      <w:r w:rsidR="00E449F0">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922DCD">
        <w:t>Собрание</w:t>
      </w:r>
      <w:r w:rsidR="00922DCD" w:rsidRPr="00922DCD">
        <w:t xml:space="preserve"> </w:t>
      </w:r>
      <w:r w:rsidR="00922DCD" w:rsidRPr="00982888">
        <w:t>депутатов</w:t>
      </w:r>
      <w:r w:rsidR="00073259">
        <w:rPr>
          <w:rStyle w:val="4"/>
          <w:b w:val="0"/>
          <w:bCs w:val="0"/>
          <w:sz w:val="24"/>
          <w:szCs w:val="24"/>
        </w:rPr>
        <w:t xml:space="preserve"> </w:t>
      </w:r>
      <w:proofErr w:type="spellStart"/>
      <w:r w:rsidR="00E449F0">
        <w:rPr>
          <w:rStyle w:val="4"/>
          <w:b w:val="0"/>
          <w:bCs w:val="0"/>
          <w:sz w:val="24"/>
          <w:szCs w:val="24"/>
        </w:rPr>
        <w:t>Гоношихинск</w:t>
      </w:r>
      <w:r w:rsidR="00922DCD">
        <w:rPr>
          <w:rStyle w:val="4"/>
          <w:b w:val="0"/>
          <w:bCs w:val="0"/>
          <w:sz w:val="24"/>
          <w:szCs w:val="24"/>
        </w:rPr>
        <w:t>ого</w:t>
      </w:r>
      <w:proofErr w:type="spellEnd"/>
      <w:r w:rsidR="00922DCD">
        <w:rPr>
          <w:rStyle w:val="4"/>
          <w:b w:val="0"/>
          <w:bCs w:val="0"/>
          <w:sz w:val="24"/>
          <w:szCs w:val="24"/>
        </w:rPr>
        <w:t xml:space="preserve"> </w:t>
      </w:r>
      <w:proofErr w:type="gramStart"/>
      <w:r w:rsidR="00C41CEB">
        <w:rPr>
          <w:rStyle w:val="4"/>
          <w:b w:val="0"/>
          <w:bCs w:val="0"/>
          <w:sz w:val="24"/>
          <w:szCs w:val="24"/>
        </w:rPr>
        <w:t>с</w:t>
      </w:r>
      <w:r w:rsidRPr="00982888">
        <w:t>ельск</w:t>
      </w:r>
      <w:r w:rsidR="00922DCD">
        <w:t xml:space="preserve">ого </w:t>
      </w:r>
      <w:r w:rsidRPr="00982888">
        <w:t xml:space="preserve"> Совет</w:t>
      </w:r>
      <w:r w:rsidR="00922DCD">
        <w:t>а</w:t>
      </w:r>
      <w:proofErr w:type="gramEnd"/>
      <w:r w:rsidR="00922DCD" w:rsidRPr="00922DCD">
        <w:rPr>
          <w:rStyle w:val="4"/>
          <w:b w:val="0"/>
          <w:bCs w:val="0"/>
          <w:sz w:val="24"/>
          <w:szCs w:val="24"/>
        </w:rPr>
        <w:t xml:space="preserve"> </w:t>
      </w:r>
      <w:proofErr w:type="spellStart"/>
      <w:r w:rsidR="00922DCD" w:rsidRPr="00982888">
        <w:rPr>
          <w:rStyle w:val="4"/>
          <w:b w:val="0"/>
          <w:bCs w:val="0"/>
          <w:sz w:val="24"/>
          <w:szCs w:val="24"/>
        </w:rPr>
        <w:t>Заринского</w:t>
      </w:r>
      <w:proofErr w:type="spellEnd"/>
      <w:r w:rsidR="00922DCD" w:rsidRPr="00982888">
        <w:rPr>
          <w:rStyle w:val="4"/>
          <w:b w:val="0"/>
          <w:bCs w:val="0"/>
          <w:sz w:val="24"/>
          <w:szCs w:val="24"/>
        </w:rPr>
        <w:t xml:space="preserve"> района</w:t>
      </w:r>
      <w:r w:rsidR="00922DCD">
        <w:t xml:space="preserve"> </w:t>
      </w:r>
      <w:r w:rsidR="00922DCD" w:rsidRPr="00982888">
        <w:t>Алтайского</w:t>
      </w:r>
      <w:r w:rsidR="00922DCD">
        <w:t xml:space="preserve"> края </w:t>
      </w:r>
      <w:r w:rsidR="00922DCD" w:rsidRPr="00982888">
        <w:t xml:space="preserve"> </w:t>
      </w:r>
      <w:r w:rsidRPr="00982888">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bookmarkStart w:id="1" w:name="_GoBack"/>
      <w:bookmarkEnd w:id="1"/>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3259"/>
    <w:rsid w:val="00077BBF"/>
    <w:rsid w:val="00084CCA"/>
    <w:rsid w:val="000A29E5"/>
    <w:rsid w:val="000B7041"/>
    <w:rsid w:val="000C4010"/>
    <w:rsid w:val="000E04A6"/>
    <w:rsid w:val="000F6040"/>
    <w:rsid w:val="001061F6"/>
    <w:rsid w:val="00113B71"/>
    <w:rsid w:val="001350C4"/>
    <w:rsid w:val="00145250"/>
    <w:rsid w:val="00151FCA"/>
    <w:rsid w:val="0015586A"/>
    <w:rsid w:val="001645FD"/>
    <w:rsid w:val="001C2B1E"/>
    <w:rsid w:val="001C5980"/>
    <w:rsid w:val="001D1D3C"/>
    <w:rsid w:val="001E6169"/>
    <w:rsid w:val="001E7133"/>
    <w:rsid w:val="001F16DE"/>
    <w:rsid w:val="001F37CB"/>
    <w:rsid w:val="00212350"/>
    <w:rsid w:val="00213933"/>
    <w:rsid w:val="00246E51"/>
    <w:rsid w:val="00255908"/>
    <w:rsid w:val="0026358F"/>
    <w:rsid w:val="002B294B"/>
    <w:rsid w:val="002B3DB4"/>
    <w:rsid w:val="002B7610"/>
    <w:rsid w:val="002C3F8A"/>
    <w:rsid w:val="002F2A95"/>
    <w:rsid w:val="002F691D"/>
    <w:rsid w:val="003061B6"/>
    <w:rsid w:val="0033046A"/>
    <w:rsid w:val="003359E7"/>
    <w:rsid w:val="0034005B"/>
    <w:rsid w:val="00347A33"/>
    <w:rsid w:val="003615A7"/>
    <w:rsid w:val="00361FA5"/>
    <w:rsid w:val="0039227A"/>
    <w:rsid w:val="003938B2"/>
    <w:rsid w:val="003A6572"/>
    <w:rsid w:val="003C6C49"/>
    <w:rsid w:val="003D116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F5A9D"/>
    <w:rsid w:val="00607430"/>
    <w:rsid w:val="00622D03"/>
    <w:rsid w:val="00653D23"/>
    <w:rsid w:val="00654EED"/>
    <w:rsid w:val="00697086"/>
    <w:rsid w:val="006B3A46"/>
    <w:rsid w:val="006B5024"/>
    <w:rsid w:val="006F38BD"/>
    <w:rsid w:val="006F6473"/>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76F6E"/>
    <w:rsid w:val="00882387"/>
    <w:rsid w:val="00891735"/>
    <w:rsid w:val="00896C14"/>
    <w:rsid w:val="00896CD4"/>
    <w:rsid w:val="008C1C03"/>
    <w:rsid w:val="008C314E"/>
    <w:rsid w:val="008E06BC"/>
    <w:rsid w:val="008F048A"/>
    <w:rsid w:val="0090262A"/>
    <w:rsid w:val="00905FAC"/>
    <w:rsid w:val="009102FE"/>
    <w:rsid w:val="00913C22"/>
    <w:rsid w:val="00914F75"/>
    <w:rsid w:val="00920998"/>
    <w:rsid w:val="00922DCD"/>
    <w:rsid w:val="00941D8C"/>
    <w:rsid w:val="009672EA"/>
    <w:rsid w:val="0097604A"/>
    <w:rsid w:val="00982888"/>
    <w:rsid w:val="009926D3"/>
    <w:rsid w:val="00996A1E"/>
    <w:rsid w:val="009B1CD3"/>
    <w:rsid w:val="009C06C6"/>
    <w:rsid w:val="009D1048"/>
    <w:rsid w:val="009D3D3E"/>
    <w:rsid w:val="009D52A8"/>
    <w:rsid w:val="009E7FD4"/>
    <w:rsid w:val="009F5255"/>
    <w:rsid w:val="00A0363C"/>
    <w:rsid w:val="00A14F38"/>
    <w:rsid w:val="00A17398"/>
    <w:rsid w:val="00A204F5"/>
    <w:rsid w:val="00A31658"/>
    <w:rsid w:val="00A45473"/>
    <w:rsid w:val="00A60DA9"/>
    <w:rsid w:val="00A7592C"/>
    <w:rsid w:val="00A84EEB"/>
    <w:rsid w:val="00A84FCB"/>
    <w:rsid w:val="00A94201"/>
    <w:rsid w:val="00AA6B49"/>
    <w:rsid w:val="00AB2159"/>
    <w:rsid w:val="00AB4352"/>
    <w:rsid w:val="00AB5AF2"/>
    <w:rsid w:val="00AC6218"/>
    <w:rsid w:val="00AD7A53"/>
    <w:rsid w:val="00AF5DB2"/>
    <w:rsid w:val="00B07BA0"/>
    <w:rsid w:val="00B427BB"/>
    <w:rsid w:val="00B513A0"/>
    <w:rsid w:val="00B54317"/>
    <w:rsid w:val="00B62CE7"/>
    <w:rsid w:val="00B63564"/>
    <w:rsid w:val="00B7318C"/>
    <w:rsid w:val="00B94B32"/>
    <w:rsid w:val="00BC45B5"/>
    <w:rsid w:val="00BE48A3"/>
    <w:rsid w:val="00BF6E4D"/>
    <w:rsid w:val="00C01A62"/>
    <w:rsid w:val="00C2029C"/>
    <w:rsid w:val="00C3157C"/>
    <w:rsid w:val="00C41CEB"/>
    <w:rsid w:val="00C45063"/>
    <w:rsid w:val="00C54EF5"/>
    <w:rsid w:val="00C7598B"/>
    <w:rsid w:val="00C8028B"/>
    <w:rsid w:val="00C872A4"/>
    <w:rsid w:val="00C92F5E"/>
    <w:rsid w:val="00CA0710"/>
    <w:rsid w:val="00CA72A4"/>
    <w:rsid w:val="00CB0648"/>
    <w:rsid w:val="00CB490D"/>
    <w:rsid w:val="00CC2B18"/>
    <w:rsid w:val="00CC557D"/>
    <w:rsid w:val="00CE35D3"/>
    <w:rsid w:val="00D173C2"/>
    <w:rsid w:val="00D222AF"/>
    <w:rsid w:val="00D53A6A"/>
    <w:rsid w:val="00D6022E"/>
    <w:rsid w:val="00D955C7"/>
    <w:rsid w:val="00DA11E4"/>
    <w:rsid w:val="00DA3E1D"/>
    <w:rsid w:val="00DA690B"/>
    <w:rsid w:val="00DB71C9"/>
    <w:rsid w:val="00DE20BA"/>
    <w:rsid w:val="00DF2E89"/>
    <w:rsid w:val="00DF7D8C"/>
    <w:rsid w:val="00E01B39"/>
    <w:rsid w:val="00E068DD"/>
    <w:rsid w:val="00E15EEF"/>
    <w:rsid w:val="00E234E9"/>
    <w:rsid w:val="00E3268D"/>
    <w:rsid w:val="00E3450C"/>
    <w:rsid w:val="00E449F0"/>
    <w:rsid w:val="00E51933"/>
    <w:rsid w:val="00E54E37"/>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93658"/>
    <w:rsid w:val="00FE62AE"/>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B6EC"/>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E2F4-D564-43E6-968C-2B2710E1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14</cp:revision>
  <cp:lastPrinted>2021-05-12T05:35:00Z</cp:lastPrinted>
  <dcterms:created xsi:type="dcterms:W3CDTF">2019-05-08T03:23:00Z</dcterms:created>
  <dcterms:modified xsi:type="dcterms:W3CDTF">2021-05-24T03:55:00Z</dcterms:modified>
</cp:coreProperties>
</file>