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9F" w:rsidRDefault="00073A9F" w:rsidP="00073A9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73A9F" w:rsidRPr="005945D2" w:rsidRDefault="00816E4C" w:rsidP="00073A9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4C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3A9F" w:rsidRPr="005945D2" w:rsidRDefault="00073A9F" w:rsidP="00073A9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945D2">
        <w:rPr>
          <w:rFonts w:ascii="Times New Roman" w:hAnsi="Times New Roman" w:cs="Times New Roman"/>
          <w:sz w:val="26"/>
          <w:szCs w:val="26"/>
        </w:rPr>
        <w:t>АР</w:t>
      </w:r>
      <w:r>
        <w:rPr>
          <w:rFonts w:ascii="Times New Roman" w:hAnsi="Times New Roman" w:cs="Times New Roman"/>
          <w:sz w:val="26"/>
          <w:szCs w:val="26"/>
        </w:rPr>
        <w:t xml:space="preserve">ИНСКИЙ РАЙОННЫЙ СОВЕТ НАРОДНЫХ </w:t>
      </w:r>
      <w:r w:rsidRPr="005945D2">
        <w:rPr>
          <w:rFonts w:ascii="Times New Roman" w:hAnsi="Times New Roman" w:cs="Times New Roman"/>
          <w:sz w:val="26"/>
          <w:szCs w:val="26"/>
        </w:rPr>
        <w:t>ДЕПУТАТОВ</w:t>
      </w:r>
    </w:p>
    <w:p w:rsidR="00073A9F" w:rsidRDefault="00073A9F" w:rsidP="00073A9F">
      <w:pPr>
        <w:pStyle w:val="a3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816E4C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3A9F" w:rsidRPr="00816E4C" w:rsidRDefault="00073A9F" w:rsidP="00073A9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26BD">
        <w:rPr>
          <w:color w:val="auto"/>
          <w:sz w:val="26"/>
          <w:szCs w:val="26"/>
        </w:rPr>
        <w:t xml:space="preserve">                                       </w:t>
      </w:r>
      <w:r>
        <w:rPr>
          <w:color w:val="auto"/>
          <w:sz w:val="26"/>
          <w:szCs w:val="26"/>
        </w:rPr>
        <w:t xml:space="preserve">    </w:t>
      </w:r>
      <w:r w:rsidR="00816E4C">
        <w:rPr>
          <w:color w:val="auto"/>
          <w:sz w:val="26"/>
          <w:szCs w:val="26"/>
        </w:rPr>
        <w:t xml:space="preserve">       </w:t>
      </w:r>
      <w:r w:rsidRPr="00816E4C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  <w:r>
        <w:rPr>
          <w:color w:val="auto"/>
          <w:sz w:val="36"/>
          <w:szCs w:val="36"/>
        </w:rPr>
        <w:t xml:space="preserve">      </w:t>
      </w:r>
    </w:p>
    <w:p w:rsidR="00073A9F" w:rsidRPr="005945D2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p w:rsidR="00073A9F" w:rsidRPr="00EA265B" w:rsidRDefault="00073A9F" w:rsidP="00073A9F">
      <w:pPr>
        <w:rPr>
          <w:rFonts w:ascii="Times New Roman" w:hAnsi="Times New Roman" w:cs="Times New Roman"/>
          <w:sz w:val="16"/>
          <w:szCs w:val="16"/>
        </w:rPr>
      </w:pPr>
    </w:p>
    <w:p w:rsidR="00073A9F" w:rsidRPr="005945D2" w:rsidRDefault="00073A9F" w:rsidP="00073A9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22.03</w:t>
      </w:r>
      <w:r w:rsidRPr="00DD78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№ </w:t>
      </w:r>
      <w:r w:rsidR="00BB04FF">
        <w:rPr>
          <w:rFonts w:ascii="Times New Roman" w:hAnsi="Times New Roman" w:cs="Times New Roman"/>
          <w:sz w:val="26"/>
          <w:szCs w:val="26"/>
        </w:rPr>
        <w:t>20</w:t>
      </w:r>
    </w:p>
    <w:p w:rsidR="00073A9F" w:rsidRPr="00816E4C" w:rsidRDefault="00073A9F" w:rsidP="00073A9F">
      <w:pPr>
        <w:ind w:left="3600" w:firstLine="0"/>
        <w:rPr>
          <w:rFonts w:ascii="Times New Roman" w:hAnsi="Times New Roman" w:cs="Times New Roman"/>
        </w:rPr>
      </w:pPr>
      <w:r w:rsidRPr="00816E4C">
        <w:rPr>
          <w:rFonts w:ascii="Times New Roman" w:hAnsi="Times New Roman" w:cs="Times New Roman"/>
        </w:rPr>
        <w:t xml:space="preserve">          г. Заринск</w:t>
      </w:r>
    </w:p>
    <w:p w:rsidR="00073A9F" w:rsidRPr="005D6A80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6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73A9F" w:rsidRPr="004C3247" w:rsidTr="00B47EA5">
        <w:tc>
          <w:tcPr>
            <w:tcW w:w="4644" w:type="dxa"/>
          </w:tcPr>
          <w:p w:rsidR="00073A9F" w:rsidRPr="00E526BD" w:rsidRDefault="00073A9F" w:rsidP="00B47EA5">
            <w:pPr>
              <w:pStyle w:val="ConsPlusTitle"/>
              <w:widowControl/>
              <w:ind w:right="-1"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</w:pPr>
            <w:r w:rsidRPr="004C32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Об отч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ё</w:t>
            </w:r>
            <w:r w:rsidRPr="004C32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те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о работе счётной палаты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района Алтайского края за 2021 год.</w:t>
            </w:r>
            <w:r w:rsidRPr="004C32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073A9F" w:rsidRPr="005D6A80" w:rsidRDefault="00073A9F" w:rsidP="00073A9F">
      <w:pPr>
        <w:pStyle w:val="a5"/>
        <w:rPr>
          <w:rFonts w:ascii="Times New Roman" w:hAnsi="Times New Roman" w:cs="Times New Roman"/>
        </w:rPr>
      </w:pPr>
    </w:p>
    <w:p w:rsidR="00073A9F" w:rsidRPr="00FA612F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p w:rsidR="00073A9F" w:rsidRPr="00FA612F" w:rsidRDefault="00073A9F" w:rsidP="00073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FA612F">
        <w:rPr>
          <w:rFonts w:ascii="Times New Roman" w:hAnsi="Times New Roman" w:cs="Times New Roman"/>
          <w:sz w:val="26"/>
          <w:szCs w:val="26"/>
        </w:rPr>
        <w:t>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FA612F">
        <w:rPr>
          <w:rFonts w:ascii="Times New Roman" w:hAnsi="Times New Roman" w:cs="Times New Roman"/>
          <w:sz w:val="26"/>
          <w:szCs w:val="26"/>
        </w:rPr>
        <w:t xml:space="preserve">т о </w:t>
      </w:r>
      <w:r>
        <w:rPr>
          <w:rFonts w:ascii="Times New Roman" w:hAnsi="Times New Roman" w:cs="Times New Roman"/>
          <w:sz w:val="26"/>
          <w:szCs w:val="26"/>
        </w:rPr>
        <w:t xml:space="preserve">работе </w:t>
      </w:r>
      <w:r w:rsidRPr="00A94F44">
        <w:rPr>
          <w:rFonts w:ascii="Times New Roman" w:hAnsi="Times New Roman" w:cs="Times New Roman"/>
          <w:bCs/>
          <w:sz w:val="26"/>
          <w:szCs w:val="26"/>
        </w:rPr>
        <w:t xml:space="preserve">счётной палаты </w:t>
      </w:r>
      <w:proofErr w:type="spellStart"/>
      <w:r w:rsidRPr="00A94F44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A94F44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за 2021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612F">
        <w:rPr>
          <w:rFonts w:ascii="Times New Roman" w:hAnsi="Times New Roman" w:cs="Times New Roman"/>
          <w:sz w:val="26"/>
          <w:szCs w:val="26"/>
        </w:rPr>
        <w:t xml:space="preserve">районный Совет народных депутатов,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A612F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A612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A612F">
        <w:rPr>
          <w:rFonts w:ascii="Times New Roman" w:hAnsi="Times New Roman" w:cs="Times New Roman"/>
          <w:sz w:val="26"/>
          <w:szCs w:val="26"/>
        </w:rPr>
        <w:t xml:space="preserve"> от 6 октября 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 </w:t>
      </w:r>
      <w:r w:rsidRPr="00FA612F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 муниципального образования Заринский район Алтайского края</w:t>
      </w:r>
      <w:r w:rsidRPr="00FA612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73A9F" w:rsidRDefault="00073A9F" w:rsidP="00073A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3A9F" w:rsidRPr="00FA612F" w:rsidRDefault="00073A9F" w:rsidP="00073A9F">
      <w:pPr>
        <w:jc w:val="center"/>
        <w:rPr>
          <w:rFonts w:ascii="Times New Roman" w:hAnsi="Times New Roman" w:cs="Times New Roman"/>
          <w:sz w:val="26"/>
          <w:szCs w:val="26"/>
        </w:rPr>
      </w:pPr>
      <w:r w:rsidRPr="00FA612F">
        <w:rPr>
          <w:rFonts w:ascii="Times New Roman" w:hAnsi="Times New Roman" w:cs="Times New Roman"/>
          <w:sz w:val="26"/>
          <w:szCs w:val="26"/>
        </w:rPr>
        <w:t>Р Е Ш И Л:</w:t>
      </w:r>
    </w:p>
    <w:p w:rsidR="00073A9F" w:rsidRDefault="00073A9F" w:rsidP="00073A9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73A9F" w:rsidRPr="00FA612F" w:rsidRDefault="00073A9F" w:rsidP="00073A9F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</w:t>
      </w:r>
      <w:r w:rsidRPr="00FA612F">
        <w:rPr>
          <w:rFonts w:ascii="Times New Roman" w:hAnsi="Times New Roman" w:cs="Times New Roman"/>
          <w:sz w:val="26"/>
          <w:szCs w:val="26"/>
        </w:rPr>
        <w:t xml:space="preserve">тчет о </w:t>
      </w:r>
      <w:r>
        <w:rPr>
          <w:rFonts w:ascii="Times New Roman" w:hAnsi="Times New Roman" w:cs="Times New Roman"/>
          <w:sz w:val="26"/>
          <w:szCs w:val="26"/>
        </w:rPr>
        <w:t xml:space="preserve">работе </w:t>
      </w:r>
      <w:r w:rsidRPr="00A94F44">
        <w:rPr>
          <w:rFonts w:ascii="Times New Roman" w:hAnsi="Times New Roman" w:cs="Times New Roman"/>
          <w:bCs/>
          <w:sz w:val="26"/>
          <w:szCs w:val="26"/>
        </w:rPr>
        <w:t xml:space="preserve">счётной палаты </w:t>
      </w:r>
      <w:proofErr w:type="spellStart"/>
      <w:r w:rsidRPr="00A94F44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A94F44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за 2021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к сведению (прилагается</w:t>
      </w:r>
      <w:r w:rsidRPr="00FA612F">
        <w:rPr>
          <w:rFonts w:ascii="Times New Roman" w:hAnsi="Times New Roman" w:cs="Times New Roman"/>
          <w:sz w:val="26"/>
          <w:szCs w:val="26"/>
        </w:rPr>
        <w:t>).</w:t>
      </w:r>
    </w:p>
    <w:p w:rsidR="00073A9F" w:rsidRPr="00D75F02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75F02">
        <w:rPr>
          <w:rFonts w:ascii="Times New Roman" w:hAnsi="Times New Roman" w:cs="Times New Roman"/>
          <w:sz w:val="26"/>
          <w:szCs w:val="26"/>
        </w:rPr>
        <w:t xml:space="preserve">2. Предложить контрольно-счетной палате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75F02">
        <w:rPr>
          <w:rFonts w:ascii="Times New Roman" w:hAnsi="Times New Roman" w:cs="Times New Roman"/>
          <w:sz w:val="26"/>
          <w:szCs w:val="26"/>
        </w:rPr>
        <w:t xml:space="preserve"> района Алтайского края продолжить работу по дальнейшему контролю за использованием муниципального имущества, деятельностью муниципальных унитарных предприятий, учредителями которых являются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Заринский</w:t>
      </w:r>
      <w:r w:rsidRPr="00D75F02">
        <w:rPr>
          <w:rFonts w:ascii="Times New Roman" w:hAnsi="Times New Roman" w:cs="Times New Roman"/>
          <w:sz w:val="26"/>
          <w:szCs w:val="26"/>
        </w:rPr>
        <w:t xml:space="preserve"> район, предотвращению неэффективного и неправомерного расходования бюджетных средств, выявлению резервов увеличения доходной части районного бюджета.</w:t>
      </w:r>
    </w:p>
    <w:p w:rsidR="00073A9F" w:rsidRPr="006565AA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2.Контроль за выполнением настоящего решения возложить на постоянную комиссию по финансам и экономике. </w:t>
      </w:r>
    </w:p>
    <w:p w:rsidR="00073A9F" w:rsidRDefault="00073A9F" w:rsidP="00073A9F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816E4C" w:rsidRPr="006565AA" w:rsidRDefault="00816E4C" w:rsidP="00073A9F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73A9F" w:rsidRPr="009D0FE3" w:rsidRDefault="00372C30" w:rsidP="00073A9F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Заместитель председателя </w:t>
      </w:r>
      <w:r w:rsidR="00073A9F" w:rsidRPr="009D0FE3">
        <w:rPr>
          <w:rFonts w:ascii="Times New Roman" w:hAnsi="Times New Roman" w:cs="Times New Roman"/>
          <w:szCs w:val="24"/>
        </w:rPr>
        <w:t xml:space="preserve">районного </w:t>
      </w: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  <w:r w:rsidRPr="009D0FE3">
        <w:rPr>
          <w:rFonts w:ascii="Times New Roman" w:hAnsi="Times New Roman" w:cs="Times New Roman"/>
          <w:szCs w:val="24"/>
        </w:rPr>
        <w:t>Совета народных депутатов</w:t>
      </w:r>
      <w:r w:rsidR="00372C30">
        <w:rPr>
          <w:rFonts w:ascii="Times New Roman" w:hAnsi="Times New Roman" w:cs="Times New Roman"/>
          <w:szCs w:val="24"/>
        </w:rPr>
        <w:tab/>
      </w:r>
      <w:r w:rsidR="00372C30">
        <w:rPr>
          <w:rFonts w:ascii="Times New Roman" w:hAnsi="Times New Roman" w:cs="Times New Roman"/>
          <w:szCs w:val="24"/>
        </w:rPr>
        <w:tab/>
      </w:r>
      <w:r w:rsidR="00372C30">
        <w:rPr>
          <w:rFonts w:ascii="Times New Roman" w:hAnsi="Times New Roman" w:cs="Times New Roman"/>
          <w:szCs w:val="24"/>
        </w:rPr>
        <w:tab/>
      </w:r>
      <w:r w:rsidR="00372C30">
        <w:rPr>
          <w:rFonts w:ascii="Times New Roman" w:hAnsi="Times New Roman" w:cs="Times New Roman"/>
          <w:szCs w:val="24"/>
        </w:rPr>
        <w:tab/>
      </w:r>
      <w:r w:rsidR="00372C30">
        <w:rPr>
          <w:rFonts w:ascii="Times New Roman" w:hAnsi="Times New Roman" w:cs="Times New Roman"/>
          <w:szCs w:val="24"/>
        </w:rPr>
        <w:tab/>
      </w:r>
      <w:r w:rsidR="00372C30">
        <w:rPr>
          <w:rFonts w:ascii="Times New Roman" w:hAnsi="Times New Roman" w:cs="Times New Roman"/>
          <w:szCs w:val="24"/>
        </w:rPr>
        <w:tab/>
        <w:t xml:space="preserve">       Л.С.Турубанова</w:t>
      </w: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4812BB" w:rsidRDefault="00073A9F" w:rsidP="00073A9F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812BB">
        <w:rPr>
          <w:rFonts w:ascii="Times New Roman" w:hAnsi="Times New Roman"/>
          <w:sz w:val="26"/>
          <w:szCs w:val="26"/>
          <w:lang w:eastAsia="ru-RU"/>
        </w:rPr>
        <w:t>ПРИНЯТ</w:t>
      </w:r>
    </w:p>
    <w:p w:rsidR="00073A9F" w:rsidRPr="004812BB" w:rsidRDefault="00073A9F" w:rsidP="00073A9F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812BB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proofErr w:type="spellStart"/>
      <w:r w:rsidRPr="004812BB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</w:p>
    <w:p w:rsidR="00073A9F" w:rsidRPr="004812BB" w:rsidRDefault="00073A9F" w:rsidP="00073A9F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812BB">
        <w:rPr>
          <w:rFonts w:ascii="Times New Roman" w:hAnsi="Times New Roman"/>
          <w:sz w:val="26"/>
          <w:szCs w:val="26"/>
          <w:lang w:eastAsia="ru-RU"/>
        </w:rPr>
        <w:t>районного</w:t>
      </w:r>
      <w:r w:rsidR="00372C3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12BB">
        <w:rPr>
          <w:rFonts w:ascii="Times New Roman" w:hAnsi="Times New Roman"/>
          <w:sz w:val="26"/>
          <w:szCs w:val="26"/>
          <w:lang w:eastAsia="ru-RU"/>
        </w:rPr>
        <w:t>Совета</w:t>
      </w:r>
      <w:r w:rsidR="00372C3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12BB">
        <w:rPr>
          <w:rFonts w:ascii="Times New Roman" w:hAnsi="Times New Roman"/>
          <w:sz w:val="26"/>
          <w:szCs w:val="26"/>
          <w:lang w:eastAsia="ru-RU"/>
        </w:rPr>
        <w:t xml:space="preserve">народных депутатов                                                                                                                   </w:t>
      </w:r>
    </w:p>
    <w:p w:rsidR="00073A9F" w:rsidRPr="004812BB" w:rsidRDefault="00816E4C" w:rsidP="00816E4C">
      <w:pPr>
        <w:pStyle w:val="ac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073A9F" w:rsidRPr="004812BB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9B5AD6">
        <w:rPr>
          <w:rFonts w:ascii="Times New Roman" w:hAnsi="Times New Roman"/>
          <w:sz w:val="26"/>
          <w:szCs w:val="26"/>
          <w:lang w:eastAsia="ru-RU"/>
        </w:rPr>
        <w:t xml:space="preserve">22.03.2022 </w:t>
      </w:r>
      <w:r w:rsidR="00073A9F" w:rsidRPr="004812BB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9B5AD6">
        <w:rPr>
          <w:rFonts w:ascii="Times New Roman" w:hAnsi="Times New Roman"/>
          <w:sz w:val="26"/>
          <w:szCs w:val="26"/>
          <w:lang w:eastAsia="ru-RU"/>
        </w:rPr>
        <w:t>20</w:t>
      </w:r>
      <w:bookmarkStart w:id="0" w:name="_GoBack"/>
      <w:bookmarkEnd w:id="0"/>
    </w:p>
    <w:p w:rsidR="00073A9F" w:rsidRPr="004812BB" w:rsidRDefault="00073A9F" w:rsidP="00073A9F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73A9F" w:rsidRPr="00924BF8" w:rsidRDefault="00073A9F" w:rsidP="00073A9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BF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73A9F" w:rsidRPr="00924BF8" w:rsidRDefault="00073A9F" w:rsidP="00073A9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BF8">
        <w:rPr>
          <w:rFonts w:ascii="Times New Roman" w:hAnsi="Times New Roman" w:cs="Times New Roman"/>
          <w:b/>
          <w:sz w:val="26"/>
          <w:szCs w:val="26"/>
        </w:rPr>
        <w:t>о ра</w:t>
      </w:r>
      <w:r w:rsidR="00816E4C">
        <w:rPr>
          <w:rFonts w:ascii="Times New Roman" w:hAnsi="Times New Roman" w:cs="Times New Roman"/>
          <w:b/>
          <w:sz w:val="26"/>
          <w:szCs w:val="26"/>
        </w:rPr>
        <w:t xml:space="preserve">боте контрольно-счетной палаты </w:t>
      </w:r>
      <w:proofErr w:type="spellStart"/>
      <w:r w:rsidRPr="00924BF8">
        <w:rPr>
          <w:rFonts w:ascii="Times New Roman" w:hAnsi="Times New Roman" w:cs="Times New Roman"/>
          <w:b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b/>
          <w:sz w:val="26"/>
          <w:szCs w:val="26"/>
        </w:rPr>
        <w:t xml:space="preserve"> района за 2021 год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Отчет о работе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–счетной палаты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 подготовлен в соответствии со статьей 19 Положения о контрольно-счетной палате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района, принято решением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от 28.01.2020 № 3.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Контрольно-счетная палата осуществляет свою деятельность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района», Стандартами внешнего муниципального финансового контроля, соглашениями, подписанными между контрольно-счетной палатой  и представительными органами поселений, входящими в состав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района, о передаче КСП полномочий контрольно-счетных органов поселений на 2021 год.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В представленном отчете отражены основные направления деятельности контрольно-счетной палаты в 2021 году, информация о количестве проведенных контрольных и экспертно-аналитических мероприятий, их результатах, о принятых объектами контроля мерах по устранению выявленных нарушений и недостатков. При оценке выявленных в 2021 году нарушений и недостат</w:t>
      </w:r>
      <w:r>
        <w:rPr>
          <w:rFonts w:ascii="Times New Roman" w:hAnsi="Times New Roman" w:cs="Times New Roman"/>
          <w:sz w:val="26"/>
          <w:szCs w:val="26"/>
        </w:rPr>
        <w:t xml:space="preserve">ков контрольно-счетной палатой </w:t>
      </w:r>
      <w:r w:rsidRPr="00924BF8">
        <w:rPr>
          <w:rFonts w:ascii="Times New Roman" w:hAnsi="Times New Roman" w:cs="Times New Roman"/>
          <w:sz w:val="26"/>
          <w:szCs w:val="26"/>
        </w:rPr>
        <w:t>использован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73A9F" w:rsidRPr="003E1E9E" w:rsidRDefault="00073A9F" w:rsidP="00073A9F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24BF8">
        <w:rPr>
          <w:rFonts w:ascii="Times New Roman" w:hAnsi="Times New Roman" w:cs="Times New Roman"/>
          <w:b/>
          <w:sz w:val="26"/>
          <w:szCs w:val="26"/>
        </w:rPr>
        <w:t>Общие сведения о деятельности контрольно-</w:t>
      </w:r>
      <w:r>
        <w:rPr>
          <w:rFonts w:ascii="Times New Roman" w:hAnsi="Times New Roman" w:cs="Times New Roman"/>
          <w:b/>
          <w:sz w:val="26"/>
          <w:szCs w:val="26"/>
        </w:rPr>
        <w:t xml:space="preserve"> счетной палаты </w:t>
      </w:r>
      <w:proofErr w:type="spellStart"/>
      <w:r w:rsidRPr="003E1E9E">
        <w:rPr>
          <w:rFonts w:ascii="Times New Roman" w:hAnsi="Times New Roman" w:cs="Times New Roman"/>
          <w:b/>
          <w:sz w:val="26"/>
          <w:szCs w:val="26"/>
        </w:rPr>
        <w:t>Заринского</w:t>
      </w:r>
      <w:proofErr w:type="spellEnd"/>
      <w:r w:rsidRPr="003E1E9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073A9F" w:rsidRPr="00924BF8" w:rsidRDefault="00073A9F" w:rsidP="00073A9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Контрольно-счетная палата является постоянно действующим органом внешнего муниципального финансового контроля, входит в структуру органов местного самоуправления, образована решением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и ей подотчетна. Контрольно-счетная палата обладает организационной и функциональной независимостью, осуществляет свою деятельность самостоятельно на основе плана работы, разрабатываемого и утверждаемого самостоятельно. Работа контрольно-счетной палаты основывается на принципах законности, объективности, эффективности, независимости и гласности.</w:t>
      </w:r>
    </w:p>
    <w:p w:rsidR="00073A9F" w:rsidRPr="00924BF8" w:rsidRDefault="00073A9F" w:rsidP="00073A9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Порядок организации и деятельности контрольно-счетной палаты определяется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Алтайского края и муниципальными нормативными правовыми актами.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lastRenderedPageBreak/>
        <w:t xml:space="preserve">Уставом муниципального образования Заринский район определено, что контрольно-счетная палата состоит </w:t>
      </w:r>
      <w:r w:rsidRPr="00924BF8">
        <w:rPr>
          <w:rFonts w:ascii="Times New Roman" w:hAnsi="Times New Roman" w:cs="Times New Roman"/>
          <w:spacing w:val="-3"/>
          <w:sz w:val="26"/>
          <w:szCs w:val="26"/>
        </w:rPr>
        <w:t xml:space="preserve">из председателя, который назначаются на должность решением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</w:t>
      </w:r>
      <w:r w:rsidRPr="00924BF8">
        <w:rPr>
          <w:rFonts w:ascii="Times New Roman" w:hAnsi="Times New Roman" w:cs="Times New Roman"/>
          <w:spacing w:val="-3"/>
          <w:sz w:val="26"/>
          <w:szCs w:val="26"/>
        </w:rPr>
        <w:t>Алтайского края.  Ф</w:t>
      </w:r>
      <w:r w:rsidRPr="00924BF8">
        <w:rPr>
          <w:rFonts w:ascii="Times New Roman" w:hAnsi="Times New Roman" w:cs="Times New Roman"/>
          <w:sz w:val="26"/>
          <w:szCs w:val="26"/>
        </w:rPr>
        <w:t>актическая численность работников контрольно-счетной палаты по состоянию на 31 декабря 2021 года составила 1 человек. Должность председателя конт</w:t>
      </w:r>
      <w:r>
        <w:rPr>
          <w:rFonts w:ascii="Times New Roman" w:hAnsi="Times New Roman" w:cs="Times New Roman"/>
          <w:sz w:val="26"/>
          <w:szCs w:val="26"/>
        </w:rPr>
        <w:t xml:space="preserve">рольно-счетной палаты является </w:t>
      </w:r>
      <w:r w:rsidRPr="00924BF8">
        <w:rPr>
          <w:rFonts w:ascii="Times New Roman" w:hAnsi="Times New Roman" w:cs="Times New Roman"/>
          <w:sz w:val="26"/>
          <w:szCs w:val="26"/>
        </w:rPr>
        <w:t>должностью муниципальной службы. Сотрудник имеет высшее экономическое образование. Повышение квалификации в 2021году</w:t>
      </w:r>
      <w:r>
        <w:rPr>
          <w:rFonts w:ascii="Times New Roman" w:hAnsi="Times New Roman" w:cs="Times New Roman"/>
          <w:sz w:val="26"/>
          <w:szCs w:val="26"/>
        </w:rPr>
        <w:t xml:space="preserve"> пройдено</w:t>
      </w:r>
      <w:r w:rsidRPr="00924BF8">
        <w:rPr>
          <w:rFonts w:ascii="Times New Roman" w:hAnsi="Times New Roman" w:cs="Times New Roman"/>
          <w:sz w:val="26"/>
          <w:szCs w:val="26"/>
        </w:rPr>
        <w:t>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палаты </w:t>
      </w:r>
      <w:r w:rsidRPr="00924BF8">
        <w:rPr>
          <w:rFonts w:ascii="Times New Roman" w:hAnsi="Times New Roman" w:cs="Times New Roman"/>
          <w:sz w:val="26"/>
          <w:szCs w:val="26"/>
        </w:rPr>
        <w:t>руководствуется в своей деятельности Кодексом этики и служебного поведения работников контрольно-счетных органов субъектов Российской Федерации, утвержденным решением Совета контрольно-счетных органов при Счетной палате Российской Федерации от 20 декабря 2018 года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Для осуществления деятельности контрольно-счетной палаты в бюджете муниципального образования Заринский район на 2021 год была предусмотрена сумма 696,6 тыс. рублей. Это расходы на оплату труда и отчисления в фонды социального страхования.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Деятельность контрольно-счетной палаты осуществлялась в 2021 году на основании плана работы контрольно-счетной палаты, который был сформирован с учетом предложений районного Собрания народных депутатов, выполнен в полном объеме и в установленные сроки. 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Полномочия по внешнему финансовому контролю реализованы в форме контрольных и экспертно-аналитических мероприятий.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В соответствии с Планом работы, в целях реализации полномочий контрольно-счетного органа контрольно-счетной палатой всего проведено</w:t>
      </w:r>
      <w:r w:rsidRPr="00924BF8">
        <w:rPr>
          <w:rFonts w:ascii="Times New Roman" w:hAnsi="Times New Roman" w:cs="Times New Roman"/>
          <w:b/>
          <w:sz w:val="26"/>
          <w:szCs w:val="26"/>
        </w:rPr>
        <w:t>52</w:t>
      </w:r>
      <w:r w:rsidRPr="00924BF8">
        <w:rPr>
          <w:rFonts w:ascii="Times New Roman" w:hAnsi="Times New Roman" w:cs="Times New Roman"/>
          <w:sz w:val="26"/>
          <w:szCs w:val="26"/>
        </w:rPr>
        <w:t>контрольных и экспертно-аналитических мероприятия.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Результаты проведенных мероприятий доведены до сведения объектов контроля и направлены главе района, в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Заринское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районное Собрание депутатов. 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– счетной палатой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924BF8">
        <w:rPr>
          <w:rFonts w:ascii="Times New Roman" w:hAnsi="Times New Roman" w:cs="Times New Roman"/>
          <w:sz w:val="26"/>
          <w:szCs w:val="26"/>
        </w:rPr>
        <w:t>в 2021 году разработаны и утверждены стандарты внешнего финансового конт</w:t>
      </w:r>
      <w:r>
        <w:rPr>
          <w:rFonts w:ascii="Times New Roman" w:hAnsi="Times New Roman" w:cs="Times New Roman"/>
          <w:sz w:val="26"/>
          <w:szCs w:val="26"/>
        </w:rPr>
        <w:t xml:space="preserve">роля по различным направлениям </w:t>
      </w:r>
      <w:r w:rsidRPr="00924BF8">
        <w:rPr>
          <w:rFonts w:ascii="Times New Roman" w:hAnsi="Times New Roman" w:cs="Times New Roman"/>
          <w:sz w:val="26"/>
          <w:szCs w:val="26"/>
        </w:rPr>
        <w:t>и видам контрольно-аналитических мероприятий:</w:t>
      </w:r>
    </w:p>
    <w:p w:rsidR="00073A9F" w:rsidRPr="00924BF8" w:rsidRDefault="00073A9F" w:rsidP="00073A9F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Ста</w:t>
      </w:r>
      <w:r>
        <w:rPr>
          <w:rFonts w:ascii="Times New Roman" w:hAnsi="Times New Roman" w:cs="Times New Roman"/>
          <w:sz w:val="26"/>
          <w:szCs w:val="26"/>
        </w:rPr>
        <w:t xml:space="preserve">ндарт организации деятельности </w:t>
      </w:r>
      <w:r w:rsidRPr="00924BF8">
        <w:rPr>
          <w:rFonts w:ascii="Times New Roman" w:hAnsi="Times New Roman" w:cs="Times New Roman"/>
          <w:sz w:val="26"/>
          <w:szCs w:val="26"/>
        </w:rPr>
        <w:t xml:space="preserve">контрольно-счетной палаты «Планирование работы контрольно-счетной палаты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района». Целью Стандарта является установление общих принципов, правил и процедур планирования работы контрольно-счетной палаты для обеспечения эффективной организации осуществления внешнего муниципального финансового контроля и выполнения полномочий контрольно-счетной палаты.  </w:t>
      </w:r>
    </w:p>
    <w:p w:rsidR="00073A9F" w:rsidRPr="00924BF8" w:rsidRDefault="00073A9F" w:rsidP="00073A9F">
      <w:pPr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autoSpaceDN/>
        <w:adjustRightInd/>
        <w:ind w:left="0" w:right="-10" w:firstLine="709"/>
        <w:contextualSpacing/>
        <w:textAlignment w:val="baseline"/>
        <w:rPr>
          <w:rFonts w:ascii="Times New Roman" w:hAnsi="Times New Roman" w:cs="Times New Roman"/>
          <w:color w:val="444455"/>
          <w:sz w:val="26"/>
          <w:szCs w:val="26"/>
        </w:rPr>
      </w:pP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Ст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а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д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</w:t>
      </w:r>
      <w:r w:rsidRPr="00924BF8">
        <w:rPr>
          <w:rFonts w:ascii="Times New Roman" w:hAnsi="Times New Roman" w:cs="Times New Roman"/>
          <w:color w:val="000000"/>
          <w:spacing w:val="1"/>
          <w:sz w:val="26"/>
          <w:szCs w:val="26"/>
          <w:bdr w:val="none" w:sz="0" w:space="0" w:color="auto" w:frame="1"/>
        </w:rPr>
        <w:t>р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 </w:t>
      </w:r>
      <w:r w:rsidRPr="00924BF8">
        <w:rPr>
          <w:rFonts w:ascii="Times New Roman" w:hAnsi="Times New Roman" w:cs="Times New Roman"/>
          <w:color w:val="000000"/>
          <w:spacing w:val="-2"/>
          <w:sz w:val="26"/>
          <w:szCs w:val="26"/>
          <w:bdr w:val="none" w:sz="0" w:space="0" w:color="auto" w:frame="1"/>
        </w:rPr>
        <w:t>в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</w:t>
      </w:r>
      <w:r w:rsidRPr="00924BF8">
        <w:rPr>
          <w:rFonts w:ascii="Times New Roman" w:hAnsi="Times New Roman" w:cs="Times New Roman"/>
          <w:color w:val="000000"/>
          <w:spacing w:val="-2"/>
          <w:sz w:val="26"/>
          <w:szCs w:val="26"/>
          <w:bdr w:val="none" w:sz="0" w:space="0" w:color="auto" w:frame="1"/>
        </w:rPr>
        <w:t>е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шн</w:t>
      </w:r>
      <w:r w:rsidRPr="00924BF8">
        <w:rPr>
          <w:rFonts w:ascii="Times New Roman" w:hAnsi="Times New Roman" w:cs="Times New Roman"/>
          <w:color w:val="000000"/>
          <w:spacing w:val="1"/>
          <w:sz w:val="26"/>
          <w:szCs w:val="26"/>
          <w:bdr w:val="none" w:sz="0" w:space="0" w:color="auto" w:frame="1"/>
        </w:rPr>
        <w:t>е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г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 м</w:t>
      </w:r>
      <w:r w:rsidRPr="00924BF8">
        <w:rPr>
          <w:rFonts w:ascii="Times New Roman" w:hAnsi="Times New Roman" w:cs="Times New Roman"/>
          <w:color w:val="000000"/>
          <w:spacing w:val="-2"/>
          <w:sz w:val="26"/>
          <w:szCs w:val="26"/>
          <w:bdr w:val="none" w:sz="0" w:space="0" w:color="auto" w:frame="1"/>
        </w:rPr>
        <w:t>у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ниципально</w:t>
      </w:r>
      <w:r w:rsidRPr="00924BF8">
        <w:rPr>
          <w:rFonts w:ascii="Times New Roman" w:hAnsi="Times New Roman" w:cs="Times New Roman"/>
          <w:color w:val="000000"/>
          <w:spacing w:val="-2"/>
          <w:sz w:val="26"/>
          <w:szCs w:val="26"/>
          <w:bdr w:val="none" w:sz="0" w:space="0" w:color="auto" w:frame="1"/>
        </w:rPr>
        <w:t>г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 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ф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и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н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</w:t>
      </w:r>
      <w:r w:rsidRPr="00924BF8">
        <w:rPr>
          <w:rFonts w:ascii="Times New Roman" w:hAnsi="Times New Roman" w:cs="Times New Roman"/>
          <w:color w:val="000000"/>
          <w:spacing w:val="1"/>
          <w:sz w:val="26"/>
          <w:szCs w:val="26"/>
          <w:bdr w:val="none" w:sz="0" w:space="0" w:color="auto" w:frame="1"/>
        </w:rPr>
        <w:t>н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с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в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г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 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к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</w:t>
      </w:r>
      <w:r w:rsidRPr="00924BF8">
        <w:rPr>
          <w:rFonts w:ascii="Times New Roman" w:hAnsi="Times New Roman" w:cs="Times New Roman"/>
          <w:color w:val="000000"/>
          <w:spacing w:val="1"/>
          <w:sz w:val="26"/>
          <w:szCs w:val="26"/>
          <w:bdr w:val="none" w:sz="0" w:space="0" w:color="auto" w:frame="1"/>
        </w:rPr>
        <w:t>н</w:t>
      </w:r>
      <w:r w:rsidRPr="00924BF8">
        <w:rPr>
          <w:rFonts w:ascii="Times New Roman" w:hAnsi="Times New Roman" w:cs="Times New Roman"/>
          <w:color w:val="000000"/>
          <w:spacing w:val="-2"/>
          <w:sz w:val="26"/>
          <w:szCs w:val="26"/>
          <w:bdr w:val="none" w:sz="0" w:space="0" w:color="auto" w:frame="1"/>
        </w:rPr>
        <w:t>т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р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оля </w:t>
      </w:r>
      <w:proofErr w:type="spellStart"/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</w:t>
      </w:r>
      <w:proofErr w:type="spellEnd"/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«Проведение 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ф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ин</w:t>
      </w:r>
      <w:r w:rsidRPr="00924BF8">
        <w:rPr>
          <w:rFonts w:ascii="Times New Roman" w:hAnsi="Times New Roman" w:cs="Times New Roman"/>
          <w:color w:val="000000"/>
          <w:spacing w:val="-2"/>
          <w:sz w:val="26"/>
          <w:szCs w:val="26"/>
          <w:bdr w:val="none" w:sz="0" w:space="0" w:color="auto" w:frame="1"/>
        </w:rPr>
        <w:t>а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нс</w:t>
      </w:r>
      <w:r w:rsidRPr="00924BF8">
        <w:rPr>
          <w:rFonts w:ascii="Times New Roman" w:hAnsi="Times New Roman" w:cs="Times New Roman"/>
          <w:color w:val="000000"/>
          <w:spacing w:val="2"/>
          <w:sz w:val="26"/>
          <w:szCs w:val="26"/>
          <w:bdr w:val="none" w:sz="0" w:space="0" w:color="auto" w:frame="1"/>
        </w:rPr>
        <w:t>о</w:t>
      </w:r>
      <w:r w:rsidRPr="00924BF8">
        <w:rPr>
          <w:rFonts w:ascii="Times New Roman" w:hAnsi="Times New Roman" w:cs="Times New Roman"/>
          <w:color w:val="000000"/>
          <w:spacing w:val="-2"/>
          <w:sz w:val="26"/>
          <w:szCs w:val="26"/>
          <w:bdr w:val="none" w:sz="0" w:space="0" w:color="auto" w:frame="1"/>
        </w:rPr>
        <w:t>в</w:t>
      </w:r>
      <w:r w:rsidRPr="00924BF8">
        <w:rPr>
          <w:rFonts w:ascii="Times New Roman" w:hAnsi="Times New Roman" w:cs="Times New Roman"/>
          <w:color w:val="000000"/>
          <w:spacing w:val="7"/>
          <w:sz w:val="26"/>
          <w:szCs w:val="26"/>
          <w:bdr w:val="none" w:sz="0" w:space="0" w:color="auto" w:frame="1"/>
        </w:rPr>
        <w:t>о</w:t>
      </w:r>
      <w:r w:rsidRPr="00924BF8">
        <w:rPr>
          <w:rFonts w:ascii="Times New Roman" w:hAnsi="Times New Roman" w:cs="Times New Roman"/>
          <w:color w:val="000000"/>
          <w:spacing w:val="1"/>
          <w:sz w:val="26"/>
          <w:szCs w:val="26"/>
          <w:bdr w:val="none" w:sz="0" w:space="0" w:color="auto" w:frame="1"/>
        </w:rPr>
        <w:t>-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э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ко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</w:t>
      </w:r>
      <w:r w:rsidRPr="00924BF8">
        <w:rPr>
          <w:rFonts w:ascii="Times New Roman" w:hAnsi="Times New Roman" w:cs="Times New Roman"/>
          <w:color w:val="000000"/>
          <w:spacing w:val="1"/>
          <w:sz w:val="26"/>
          <w:szCs w:val="26"/>
          <w:bdr w:val="none" w:sz="0" w:space="0" w:color="auto" w:frame="1"/>
        </w:rPr>
        <w:t>о</w:t>
      </w:r>
      <w:r w:rsidRPr="00924BF8">
        <w:rPr>
          <w:rFonts w:ascii="Times New Roman" w:hAnsi="Times New Roman" w:cs="Times New Roman"/>
          <w:color w:val="000000"/>
          <w:spacing w:val="-2"/>
          <w:sz w:val="26"/>
          <w:szCs w:val="26"/>
          <w:bdr w:val="none" w:sz="0" w:space="0" w:color="auto" w:frame="1"/>
        </w:rPr>
        <w:t>м</w:t>
      </w:r>
      <w:r w:rsidRPr="00924BF8">
        <w:rPr>
          <w:rFonts w:ascii="Times New Roman" w:hAnsi="Times New Roman" w:cs="Times New Roman"/>
          <w:color w:val="000000"/>
          <w:spacing w:val="1"/>
          <w:sz w:val="26"/>
          <w:szCs w:val="26"/>
          <w:bdr w:val="none" w:sz="0" w:space="0" w:color="auto" w:frame="1"/>
        </w:rPr>
        <w:t>и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ч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ес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к</w:t>
      </w:r>
      <w:r w:rsidRPr="00924BF8">
        <w:rPr>
          <w:rFonts w:ascii="Times New Roman" w:hAnsi="Times New Roman" w:cs="Times New Roman"/>
          <w:color w:val="000000"/>
          <w:spacing w:val="1"/>
          <w:sz w:val="26"/>
          <w:szCs w:val="26"/>
          <w:bdr w:val="none" w:sz="0" w:space="0" w:color="auto" w:frame="1"/>
        </w:rPr>
        <w:t>о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 э</w:t>
      </w:r>
      <w:r w:rsidRPr="00924BF8">
        <w:rPr>
          <w:rFonts w:ascii="Times New Roman" w:hAnsi="Times New Roman" w:cs="Times New Roman"/>
          <w:color w:val="000000"/>
          <w:spacing w:val="-2"/>
          <w:sz w:val="26"/>
          <w:szCs w:val="26"/>
          <w:bdr w:val="none" w:sz="0" w:space="0" w:color="auto" w:frame="1"/>
        </w:rPr>
        <w:t>к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</w:t>
      </w:r>
      <w:r w:rsidRPr="00924BF8">
        <w:rPr>
          <w:rFonts w:ascii="Times New Roman" w:hAnsi="Times New Roman" w:cs="Times New Roman"/>
          <w:color w:val="000000"/>
          <w:spacing w:val="1"/>
          <w:sz w:val="26"/>
          <w:szCs w:val="26"/>
          <w:bdr w:val="none" w:sz="0" w:space="0" w:color="auto" w:frame="1"/>
        </w:rPr>
        <w:t>п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е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</w:t>
      </w:r>
      <w:r w:rsidRPr="00924BF8">
        <w:rPr>
          <w:rFonts w:ascii="Times New Roman" w:hAnsi="Times New Roman" w:cs="Times New Roman"/>
          <w:color w:val="000000"/>
          <w:spacing w:val="-1"/>
          <w:sz w:val="26"/>
          <w:szCs w:val="26"/>
          <w:bdr w:val="none" w:sz="0" w:space="0" w:color="auto" w:frame="1"/>
        </w:rPr>
        <w:t>т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изы проектов муниципальных правовых актов и муниципальных программ </w:t>
      </w:r>
      <w:proofErr w:type="spellStart"/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Заринского</w:t>
      </w:r>
      <w:proofErr w:type="spellEnd"/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района». Стандарт определяет общие требования и принципы проведения контрольно-счетной палатой экспертизы проектов муниципальных </w:t>
      </w:r>
      <w:proofErr w:type="spellStart"/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авовых</w:t>
      </w:r>
      <w:proofErr w:type="spellEnd"/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актов и муниципальных программ </w:t>
      </w:r>
      <w:proofErr w:type="spellStart"/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Заринского</w:t>
      </w:r>
      <w:proofErr w:type="spellEnd"/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района, а также проектов о внесении изменений в муниципальные программы в пределах полномочий и задач, возложенных на контрольно-счетную палату.</w:t>
      </w:r>
    </w:p>
    <w:p w:rsidR="00073A9F" w:rsidRPr="00924BF8" w:rsidRDefault="00073A9F" w:rsidP="00073A9F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24BF8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Стандарт внешнего муниципального финансового контроля «Экспертиза проекта вносимых изменений в бюджет </w:t>
      </w:r>
      <w:proofErr w:type="spellStart"/>
      <w:r w:rsidRPr="00924BF8">
        <w:rPr>
          <w:rFonts w:ascii="Times New Roman" w:eastAsia="Arial Unicode MS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924BF8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района Алтайского края на текущий финансовый год».</w:t>
      </w:r>
      <w:r w:rsidRPr="00924BF8">
        <w:rPr>
          <w:rFonts w:ascii="Times New Roman" w:hAnsi="Times New Roman" w:cs="Times New Roman"/>
          <w:color w:val="000000"/>
          <w:sz w:val="26"/>
          <w:szCs w:val="26"/>
        </w:rPr>
        <w:t xml:space="preserve"> Стандарт определяет общие требования и принципы проведения контрольно-счетной палатой экспертизы проекта решения </w:t>
      </w:r>
      <w:proofErr w:type="spellStart"/>
      <w:r w:rsidRPr="00924BF8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color w:val="000000"/>
          <w:sz w:val="26"/>
          <w:szCs w:val="26"/>
        </w:rPr>
        <w:t xml:space="preserve"> районного Совета народных  депутатов Алтайского края о внесении изменений в решение </w:t>
      </w:r>
      <w:proofErr w:type="spellStart"/>
      <w:r w:rsidRPr="00924BF8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color w:val="000000"/>
          <w:sz w:val="26"/>
          <w:szCs w:val="26"/>
        </w:rPr>
        <w:t xml:space="preserve"> районного Совета народных  депутатов Алтайского края о районном бюджете муниципального образования Заринский </w:t>
      </w:r>
      <w:r w:rsidRPr="00924BF8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район Алтайского края на теку</w:t>
      </w:r>
      <w:r w:rsidRPr="00816E4C">
        <w:rPr>
          <w:rFonts w:ascii="Times New Roman" w:hAnsi="Times New Roman" w:cs="Times New Roman"/>
          <w:color w:val="000000"/>
          <w:sz w:val="26"/>
          <w:szCs w:val="26"/>
        </w:rPr>
        <w:t>щ</w:t>
      </w:r>
      <w:r w:rsidRPr="00924BF8">
        <w:rPr>
          <w:rFonts w:ascii="Times New Roman" w:hAnsi="Times New Roman" w:cs="Times New Roman"/>
          <w:color w:val="000000"/>
          <w:sz w:val="26"/>
          <w:szCs w:val="26"/>
        </w:rPr>
        <w:t xml:space="preserve">ий финансовый год, документов и материалов, представляемых одновременно с ним в Заринский районный  Совет народных депутатов Алтайского края  в пределах полномочий и задач, возложенных на </w:t>
      </w:r>
      <w:proofErr w:type="spellStart"/>
      <w:r w:rsidRPr="00924BF8">
        <w:rPr>
          <w:rFonts w:ascii="Times New Roman" w:hAnsi="Times New Roman" w:cs="Times New Roman"/>
          <w:color w:val="000000"/>
          <w:sz w:val="26"/>
          <w:szCs w:val="26"/>
        </w:rPr>
        <w:t>контрольно</w:t>
      </w:r>
      <w:proofErr w:type="spellEnd"/>
      <w:r w:rsidRPr="00924BF8">
        <w:rPr>
          <w:rFonts w:ascii="Times New Roman" w:hAnsi="Times New Roman" w:cs="Times New Roman"/>
          <w:color w:val="000000"/>
          <w:sz w:val="26"/>
          <w:szCs w:val="26"/>
        </w:rPr>
        <w:t xml:space="preserve"> - счетную палату.</w:t>
      </w:r>
    </w:p>
    <w:p w:rsidR="00073A9F" w:rsidRPr="00924BF8" w:rsidRDefault="00073A9F" w:rsidP="00073A9F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Стандарт внешнего муниципального финансового контроля «Экспертиза проекта районного бюджета на очередной финансовый год и плановый период». </w:t>
      </w:r>
      <w:r w:rsidRPr="00924BF8">
        <w:rPr>
          <w:rFonts w:ascii="Times New Roman" w:hAnsi="Times New Roman" w:cs="Times New Roman"/>
          <w:sz w:val="26"/>
          <w:szCs w:val="26"/>
        </w:rPr>
        <w:t xml:space="preserve">Целями предварительного контроля формирования </w:t>
      </w:r>
      <w:r w:rsidRPr="00924BF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районного бюджета на очередной финансовый год и плановый период</w:t>
      </w:r>
      <w:r w:rsidRPr="00924BF8">
        <w:rPr>
          <w:rFonts w:ascii="Times New Roman" w:hAnsi="Times New Roman" w:cs="Times New Roman"/>
          <w:sz w:val="26"/>
          <w:szCs w:val="26"/>
        </w:rPr>
        <w:t xml:space="preserve"> является установление соответствия проекта решения о бюджете муниципального образования законодательству, а также определение обоснованности его показателей. </w:t>
      </w:r>
    </w:p>
    <w:p w:rsidR="00073A9F" w:rsidRPr="00924BF8" w:rsidRDefault="00073A9F" w:rsidP="00073A9F">
      <w:pPr>
        <w:shd w:val="clear" w:color="auto" w:fill="FFFFFF"/>
        <w:tabs>
          <w:tab w:val="left" w:pos="993"/>
        </w:tabs>
        <w:ind w:left="709" w:firstLine="709"/>
        <w:contextualSpacing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073A9F" w:rsidRPr="00924BF8" w:rsidRDefault="00073A9F" w:rsidP="00073A9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1E6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924BF8">
        <w:rPr>
          <w:rFonts w:ascii="Times New Roman" w:hAnsi="Times New Roman" w:cs="Times New Roman"/>
          <w:b/>
          <w:sz w:val="26"/>
          <w:szCs w:val="26"/>
        </w:rPr>
        <w:t>Экспертно-аналитическая деятельность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муниципальных образований, муниципальной собственности и имущества, недопущения коррупционных проявлений.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В ходе экспертно-аналитической деятельности в 2021 году кон</w:t>
      </w:r>
      <w:r>
        <w:rPr>
          <w:rFonts w:ascii="Times New Roman" w:hAnsi="Times New Roman" w:cs="Times New Roman"/>
          <w:sz w:val="26"/>
          <w:szCs w:val="26"/>
        </w:rPr>
        <w:t xml:space="preserve">трольно-счетной палатой выдано </w:t>
      </w:r>
      <w:r w:rsidRPr="00924BF8">
        <w:rPr>
          <w:rFonts w:ascii="Times New Roman" w:hAnsi="Times New Roman" w:cs="Times New Roman"/>
          <w:sz w:val="26"/>
          <w:szCs w:val="26"/>
        </w:rPr>
        <w:t xml:space="preserve">45 экспертных заключений, в том числе 20- по сельсоветам. 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Общая сумма проверенных средств по ним составила 395687,0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924BF8">
        <w:rPr>
          <w:rFonts w:ascii="Times New Roman" w:hAnsi="Times New Roman" w:cs="Times New Roman"/>
          <w:sz w:val="26"/>
          <w:szCs w:val="26"/>
        </w:rPr>
        <w:t>руб.. Проведена внешняя проверка 20-ти отчетов об исполн</w:t>
      </w:r>
      <w:r>
        <w:rPr>
          <w:rFonts w:ascii="Times New Roman" w:hAnsi="Times New Roman" w:cs="Times New Roman"/>
          <w:sz w:val="26"/>
          <w:szCs w:val="26"/>
        </w:rPr>
        <w:t xml:space="preserve">ении районного бюджета и </w:t>
      </w:r>
      <w:r w:rsidRPr="00924BF8">
        <w:rPr>
          <w:rFonts w:ascii="Times New Roman" w:hAnsi="Times New Roman" w:cs="Times New Roman"/>
          <w:sz w:val="26"/>
          <w:szCs w:val="26"/>
        </w:rPr>
        <w:t>бюджетов сельских поселений за 2020 год и даны 20</w:t>
      </w:r>
      <w:r>
        <w:rPr>
          <w:rFonts w:ascii="Times New Roman" w:hAnsi="Times New Roman" w:cs="Times New Roman"/>
          <w:sz w:val="26"/>
          <w:szCs w:val="26"/>
        </w:rPr>
        <w:t xml:space="preserve"> заключений на проекты решений об отчете об </w:t>
      </w:r>
      <w:r w:rsidRPr="00924BF8">
        <w:rPr>
          <w:rFonts w:ascii="Times New Roman" w:hAnsi="Times New Roman" w:cs="Times New Roman"/>
          <w:sz w:val="26"/>
          <w:szCs w:val="26"/>
        </w:rPr>
        <w:t>исполнении районного бюджета и бюджетов поселений за 2020 год. Сумма проверенных средств составила 85283,2 тыс. рублей.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В ходе проведения внешней проверки годовых отчетов проводился анализ исполнения бюджета по доходам, расходам, источникам финансирования дефицита бюджетов с отражением результатов в абсолютных и относительных значениях к утвержденному бюджету и к предыдущему периоду.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В ходе проведения анализа расходной части бюджета обращалось внимание на долю содержания органов местного самоуправления в сумме собственных доходов. </w:t>
      </w:r>
    </w:p>
    <w:p w:rsidR="00073A9F" w:rsidRPr="00924BF8" w:rsidRDefault="00073A9F" w:rsidP="00073A9F">
      <w:pPr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Одним из основных мероприятий в сфере последующего контроля стала подготовка заключения на проект решения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районного Совета </w:t>
      </w:r>
      <w:proofErr w:type="gramStart"/>
      <w:r w:rsidRPr="00924BF8">
        <w:rPr>
          <w:rFonts w:ascii="Times New Roman" w:hAnsi="Times New Roman" w:cs="Times New Roman"/>
          <w:sz w:val="26"/>
          <w:szCs w:val="26"/>
        </w:rPr>
        <w:t>народных  депутатов</w:t>
      </w:r>
      <w:proofErr w:type="gramEnd"/>
      <w:r w:rsidRPr="00924BF8">
        <w:rPr>
          <w:rFonts w:ascii="Times New Roman" w:hAnsi="Times New Roman" w:cs="Times New Roman"/>
          <w:sz w:val="26"/>
          <w:szCs w:val="26"/>
        </w:rPr>
        <w:t xml:space="preserve"> «Об исполнении районного бюджета за 2020 год». При подготовке данного заключения были использованы материалы внешних проверок годовой бюджетной отчетности шести главных администраторов бюджетных средств и сводной бюджетной отчетности комитета администрации по финансам, налоговой и кредитной политике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Отчет «Об исполнении районного бюджета за 2020 год» признан достоверным, проект решения - соответствующим требованиям бюджетного законодательства.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контрольно-счётной палате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 контрольно-счетная </w:t>
      </w:r>
      <w:proofErr w:type="gramStart"/>
      <w:r w:rsidRPr="00924BF8">
        <w:rPr>
          <w:rFonts w:ascii="Times New Roman" w:hAnsi="Times New Roman" w:cs="Times New Roman"/>
          <w:sz w:val="26"/>
          <w:szCs w:val="26"/>
        </w:rPr>
        <w:t>палата  осуществляет</w:t>
      </w:r>
      <w:proofErr w:type="gramEnd"/>
      <w:r w:rsidRPr="00924BF8">
        <w:rPr>
          <w:rFonts w:ascii="Times New Roman" w:hAnsi="Times New Roman" w:cs="Times New Roman"/>
          <w:sz w:val="26"/>
          <w:szCs w:val="26"/>
        </w:rPr>
        <w:t xml:space="preserve"> полномочия по проведению финансово-экономической экспертизы проектов муниципальных программ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 (проектов постановлений о внесении изменений в муниципальные программы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Контрольная деятельность контрольно-счетной палаты в 2021 году осуществлялась в соответствии с Планом работы.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Контрольные мероприятия проводились контрольно-счетной палатой в муниципальных органах, в учреждениях, вне зависимости от видов и форм </w:t>
      </w:r>
      <w:r w:rsidRPr="00924BF8">
        <w:rPr>
          <w:rFonts w:ascii="Times New Roman" w:hAnsi="Times New Roman" w:cs="Times New Roman"/>
          <w:sz w:val="26"/>
          <w:szCs w:val="26"/>
        </w:rPr>
        <w:lastRenderedPageBreak/>
        <w:t>собственности, получающих и использующих средства бюджета и муниципальную собственность.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планом работы контрольно-счетной палаты на 2021 год, в 2021году было проведено контрольное мероприятие «Проверка финансово-хозяйственной деятельности муниципального унитарного предприятия «МУП Тепло». По результатам контрольного мероприятия было выдано представление об устранении выявленных нарушений и недостатков со сроком до первого октября 2021 года. </w:t>
      </w:r>
    </w:p>
    <w:p w:rsidR="00073A9F" w:rsidRPr="00924BF8" w:rsidRDefault="00073A9F" w:rsidP="00073A9F">
      <w:pPr>
        <w:pStyle w:val="ab"/>
        <w:ind w:firstLine="709"/>
        <w:jc w:val="both"/>
        <w:rPr>
          <w:color w:val="000000"/>
          <w:sz w:val="26"/>
          <w:szCs w:val="26"/>
        </w:rPr>
      </w:pPr>
      <w:r w:rsidRPr="00924BF8">
        <w:rPr>
          <w:color w:val="000000"/>
          <w:sz w:val="26"/>
          <w:szCs w:val="26"/>
        </w:rPr>
        <w:t>Совместно со Счетной Палатой Алтайского края проведена совместная проверка по теме «Аудит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год и на 2021 год».</w:t>
      </w:r>
    </w:p>
    <w:p w:rsidR="00073A9F" w:rsidRPr="00924BF8" w:rsidRDefault="00073A9F" w:rsidP="00073A9F">
      <w:pPr>
        <w:ind w:left="-108" w:right="-108"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924BF8">
        <w:rPr>
          <w:rFonts w:ascii="Times New Roman" w:hAnsi="Times New Roman" w:cs="Times New Roman"/>
          <w:color w:val="000000"/>
          <w:sz w:val="26"/>
          <w:szCs w:val="26"/>
        </w:rPr>
        <w:t xml:space="preserve">Объем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2021 год составил 116899,0 </w:t>
      </w:r>
      <w:proofErr w:type="spellStart"/>
      <w:proofErr w:type="gramStart"/>
      <w:r w:rsidRPr="00924BF8"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proofErr w:type="gramEnd"/>
      <w:r w:rsidRPr="00924BF8">
        <w:rPr>
          <w:rFonts w:ascii="Times New Roman" w:hAnsi="Times New Roman" w:cs="Times New Roman"/>
          <w:color w:val="000000"/>
          <w:sz w:val="26"/>
          <w:szCs w:val="26"/>
        </w:rPr>
        <w:t xml:space="preserve">, , за 2020 год - </w:t>
      </w:r>
      <w:r w:rsidRPr="00924BF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114590,0 </w:t>
      </w:r>
      <w:proofErr w:type="spellStart"/>
      <w:r w:rsidRPr="00924BF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тыс.руб</w:t>
      </w:r>
      <w:proofErr w:type="spellEnd"/>
      <w:r w:rsidRPr="00924BF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В 2021 году председателем контрольно-счетной палаты протоколы об административном правонарушении не составлялись.</w:t>
      </w:r>
    </w:p>
    <w:p w:rsidR="00073A9F" w:rsidRPr="00924BF8" w:rsidRDefault="00073A9F" w:rsidP="00073A9F">
      <w:pPr>
        <w:ind w:left="851" w:firstLine="709"/>
        <w:rPr>
          <w:rFonts w:ascii="Times New Roman" w:hAnsi="Times New Roman" w:cs="Times New Roman"/>
          <w:b/>
          <w:sz w:val="26"/>
          <w:szCs w:val="26"/>
        </w:rPr>
      </w:pPr>
    </w:p>
    <w:p w:rsidR="00073A9F" w:rsidRPr="00924BF8" w:rsidRDefault="00073A9F" w:rsidP="00073A9F">
      <w:pPr>
        <w:ind w:left="851" w:firstLine="709"/>
        <w:rPr>
          <w:rFonts w:ascii="Times New Roman" w:hAnsi="Times New Roman" w:cs="Times New Roman"/>
          <w:b/>
          <w:sz w:val="26"/>
          <w:szCs w:val="26"/>
        </w:rPr>
      </w:pPr>
      <w:r w:rsidRPr="00924BF8">
        <w:rPr>
          <w:rFonts w:ascii="Times New Roman" w:hAnsi="Times New Roman" w:cs="Times New Roman"/>
          <w:b/>
          <w:sz w:val="26"/>
          <w:szCs w:val="26"/>
        </w:rPr>
        <w:t>Заключительные положения и основные задачи на перспективу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Контрольно-счетная палата в ходе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924BF8">
        <w:rPr>
          <w:rFonts w:ascii="Times New Roman" w:hAnsi="Times New Roman" w:cs="Times New Roman"/>
          <w:sz w:val="26"/>
          <w:szCs w:val="26"/>
        </w:rPr>
        <w:t>систематически анализирует итоги проводимых контрольных мероприятий, обобщает и исследует причины и последствия выявленных отклонений и нарушений, разрабатывает предложения, дает информацию для принятия решений руководителям органов местного самоупра</w:t>
      </w:r>
      <w:r w:rsidR="00816E4C">
        <w:rPr>
          <w:rFonts w:ascii="Times New Roman" w:hAnsi="Times New Roman" w:cs="Times New Roman"/>
          <w:sz w:val="26"/>
          <w:szCs w:val="26"/>
        </w:rPr>
        <w:t xml:space="preserve">вления, анализа и исследования </w:t>
      </w:r>
      <w:r w:rsidRPr="00924BF8">
        <w:rPr>
          <w:rFonts w:ascii="Times New Roman" w:hAnsi="Times New Roman" w:cs="Times New Roman"/>
          <w:sz w:val="26"/>
          <w:szCs w:val="26"/>
        </w:rPr>
        <w:t xml:space="preserve">выявленных нарушений и отклонений, а также их устранения. 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В ходе работы контрол</w:t>
      </w:r>
      <w:r>
        <w:rPr>
          <w:rFonts w:ascii="Times New Roman" w:hAnsi="Times New Roman" w:cs="Times New Roman"/>
          <w:sz w:val="26"/>
          <w:szCs w:val="26"/>
        </w:rPr>
        <w:t xml:space="preserve">ьно-счётной палатой направлены </w:t>
      </w:r>
      <w:r w:rsidRPr="00924BF8">
        <w:rPr>
          <w:rFonts w:ascii="Times New Roman" w:hAnsi="Times New Roman" w:cs="Times New Roman"/>
          <w:sz w:val="26"/>
          <w:szCs w:val="26"/>
        </w:rPr>
        <w:t>информационные письма о порядке представления, рассмотрения</w:t>
      </w:r>
      <w:r w:rsidR="00816E4C">
        <w:rPr>
          <w:rFonts w:ascii="Times New Roman" w:hAnsi="Times New Roman" w:cs="Times New Roman"/>
          <w:sz w:val="26"/>
          <w:szCs w:val="26"/>
        </w:rPr>
        <w:t xml:space="preserve"> и утверждения годового отчета </w:t>
      </w:r>
      <w:r w:rsidRPr="00924BF8">
        <w:rPr>
          <w:rFonts w:ascii="Times New Roman" w:hAnsi="Times New Roman" w:cs="Times New Roman"/>
          <w:sz w:val="26"/>
          <w:szCs w:val="26"/>
        </w:rPr>
        <w:t>20</w:t>
      </w:r>
      <w:r w:rsidR="00D66A08">
        <w:rPr>
          <w:rFonts w:ascii="Times New Roman" w:hAnsi="Times New Roman" w:cs="Times New Roman"/>
          <w:sz w:val="26"/>
          <w:szCs w:val="26"/>
        </w:rPr>
        <w:t xml:space="preserve"> </w:t>
      </w:r>
      <w:r w:rsidRPr="00924BF8">
        <w:rPr>
          <w:rFonts w:ascii="Times New Roman" w:hAnsi="Times New Roman" w:cs="Times New Roman"/>
          <w:sz w:val="26"/>
          <w:szCs w:val="26"/>
        </w:rPr>
        <w:t>сельсоветам.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В течение отчетного года продолжалась работа в рамках заключенного соглашения об информационном взаимодействии с Управлением федерального казначейства по Алтайскому краю. Предметом соглашения является обмен информацией при осуществлении контроля за соблюдением требований бюджетного законодательства Российской Федерации.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С учетом поступивших предложений от районного Совета народных депутатов, Счетной палаты Алтайского края сформирован и утвержден план работы на 2022 год.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контрольно-счетной палат</w:t>
      </w:r>
      <w:r w:rsidR="00816E4C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816E4C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816E4C">
        <w:rPr>
          <w:rFonts w:ascii="Times New Roman" w:hAnsi="Times New Roman" w:cs="Times New Roman"/>
          <w:sz w:val="26"/>
          <w:szCs w:val="26"/>
        </w:rPr>
        <w:t xml:space="preserve"> района на 2022год </w:t>
      </w:r>
      <w:r w:rsidRPr="00924BF8">
        <w:rPr>
          <w:rFonts w:ascii="Times New Roman" w:hAnsi="Times New Roman" w:cs="Times New Roman"/>
          <w:sz w:val="26"/>
          <w:szCs w:val="26"/>
        </w:rPr>
        <w:t>являются:</w:t>
      </w:r>
    </w:p>
    <w:p w:rsidR="00073A9F" w:rsidRPr="00924BF8" w:rsidRDefault="00073A9F" w:rsidP="00073A9F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ind w:left="142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Осуществление контрольных, экспертно-аналитических мероприятий, обеспечивающих реализацию полномочий, возложенных на контрольно-счетную палату Положением «О контрольно-счетной палате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 Алтайского края»;</w:t>
      </w:r>
    </w:p>
    <w:p w:rsidR="00073A9F" w:rsidRPr="00924BF8" w:rsidRDefault="00073A9F" w:rsidP="00073A9F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ind w:left="142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актуализация нормативных правовых актов, регламентирующих деятельность контрольно-счетной палаты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73A9F" w:rsidRPr="00924BF8" w:rsidRDefault="00073A9F" w:rsidP="00073A9F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ind w:left="142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lastRenderedPageBreak/>
        <w:t xml:space="preserve">участие в заседаниях сессий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депутатов;</w:t>
      </w:r>
    </w:p>
    <w:p w:rsidR="00073A9F" w:rsidRPr="00924BF8" w:rsidRDefault="00073A9F" w:rsidP="00073A9F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ind w:left="142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проведение контрольных, информационных, консультативных и других мероприятий по поручению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депутатов;</w:t>
      </w:r>
    </w:p>
    <w:p w:rsidR="00073A9F" w:rsidRPr="00924BF8" w:rsidRDefault="00073A9F" w:rsidP="00073A9F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ind w:left="142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 взаимодействие контрольно-счетной палаты с органами местного самоуправления, контролирующими органами Алтайского края.</w:t>
      </w:r>
    </w:p>
    <w:p w:rsidR="00073A9F" w:rsidRPr="00924BF8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В 2022 году контрольно-счетная палата продолжит работу по контролю за планированием и исполнением районного и сельских поселений бюджетов, целевым и эффективным использованием средств районного и сельских поселений бюджетов, законностью и эффективностью управления и распоряжения муниципальной собственностью, в том числе эффективностью использования муниципального имущества муниципальными бюджетными учреждениями. </w:t>
      </w:r>
    </w:p>
    <w:p w:rsidR="00073A9F" w:rsidRPr="00D75F02" w:rsidRDefault="00073A9F" w:rsidP="00073A9F">
      <w:pPr>
        <w:ind w:firstLine="709"/>
        <w:rPr>
          <w:rFonts w:ascii="Times New Roman" w:hAnsi="Times New Roman" w:cs="Times New Roman"/>
        </w:rPr>
      </w:pPr>
      <w:r w:rsidRPr="00924BF8">
        <w:rPr>
          <w:rFonts w:ascii="Times New Roman" w:hAnsi="Times New Roman" w:cs="Times New Roman"/>
          <w:sz w:val="26"/>
          <w:szCs w:val="26"/>
        </w:rPr>
        <w:t xml:space="preserve">В целях обеспечения доступа к информации о своей деятельности контрольно-счетная палата размещает на официальном сайте администрации </w:t>
      </w:r>
      <w:proofErr w:type="spellStart"/>
      <w:r w:rsidRPr="00924BF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24BF8">
        <w:rPr>
          <w:rFonts w:ascii="Times New Roman" w:hAnsi="Times New Roman" w:cs="Times New Roman"/>
          <w:sz w:val="26"/>
          <w:szCs w:val="26"/>
        </w:rPr>
        <w:t xml:space="preserve"> района в разделе «Контрольно-счетная палата» информацию о проведенных контрольных и экспертно- аналитических мероприятиях, о </w:t>
      </w:r>
      <w:r w:rsidRPr="00D75F02">
        <w:rPr>
          <w:rFonts w:ascii="Times New Roman" w:hAnsi="Times New Roman" w:cs="Times New Roman"/>
        </w:rPr>
        <w:t>выявленных при их проведении нарушениях и недостатках, о направленных представлениях и предписаниях.</w:t>
      </w:r>
    </w:p>
    <w:p w:rsidR="00073A9F" w:rsidRPr="00D75F02" w:rsidRDefault="00073A9F" w:rsidP="00073A9F">
      <w:pPr>
        <w:ind w:firstLine="709"/>
        <w:rPr>
          <w:rFonts w:ascii="Times New Roman" w:hAnsi="Times New Roman" w:cs="Times New Roman"/>
        </w:rPr>
      </w:pPr>
    </w:p>
    <w:p w:rsidR="00073A9F" w:rsidRPr="00D75F02" w:rsidRDefault="00073A9F" w:rsidP="00073A9F">
      <w:pPr>
        <w:ind w:firstLine="709"/>
        <w:rPr>
          <w:rFonts w:ascii="Times New Roman" w:hAnsi="Times New Roman" w:cs="Times New Roman"/>
        </w:rPr>
      </w:pPr>
    </w:p>
    <w:p w:rsidR="00073A9F" w:rsidRPr="00D75F02" w:rsidRDefault="00073A9F" w:rsidP="00073A9F">
      <w:pPr>
        <w:ind w:firstLine="709"/>
        <w:rPr>
          <w:rFonts w:ascii="Times New Roman" w:hAnsi="Times New Roman" w:cs="Times New Roman"/>
        </w:rPr>
      </w:pPr>
    </w:p>
    <w:p w:rsidR="00073A9F" w:rsidRPr="00D75F02" w:rsidRDefault="00073A9F" w:rsidP="00073A9F">
      <w:pPr>
        <w:ind w:firstLine="0"/>
        <w:rPr>
          <w:rFonts w:ascii="Times New Roman" w:hAnsi="Times New Roman" w:cs="Times New Roman"/>
        </w:rPr>
      </w:pPr>
    </w:p>
    <w:p w:rsidR="00073A9F" w:rsidRPr="004812BB" w:rsidRDefault="00816E4C" w:rsidP="00073A9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073A9F" w:rsidRPr="004812BB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3A9F" w:rsidRPr="004812B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3A9F" w:rsidRPr="004812BB">
        <w:rPr>
          <w:rFonts w:ascii="Times New Roman" w:hAnsi="Times New Roman" w:cs="Times New Roman"/>
          <w:sz w:val="26"/>
          <w:szCs w:val="26"/>
        </w:rPr>
        <w:t>счетной палаты</w:t>
      </w:r>
    </w:p>
    <w:p w:rsidR="00073A9F" w:rsidRPr="004812BB" w:rsidRDefault="00073A9F" w:rsidP="00073A9F">
      <w:pPr>
        <w:ind w:firstLine="0"/>
        <w:rPr>
          <w:sz w:val="26"/>
          <w:szCs w:val="26"/>
        </w:rPr>
      </w:pPr>
      <w:proofErr w:type="spellStart"/>
      <w:r w:rsidRPr="004812B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4812BB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spellStart"/>
      <w:r w:rsidRPr="004812BB">
        <w:rPr>
          <w:rFonts w:ascii="Times New Roman" w:hAnsi="Times New Roman" w:cs="Times New Roman"/>
          <w:sz w:val="26"/>
          <w:szCs w:val="26"/>
        </w:rPr>
        <w:t>А.В.Минина</w:t>
      </w:r>
      <w:proofErr w:type="spellEnd"/>
    </w:p>
    <w:p w:rsidR="00073A9F" w:rsidRPr="009D0FE3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Default="00073A9F" w:rsidP="00073A9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73A9F" w:rsidRDefault="00073A9F" w:rsidP="00073A9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73A9F" w:rsidRPr="008E6D1C" w:rsidRDefault="00073A9F" w:rsidP="00073A9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73D9E" w:rsidRDefault="00373D9E"/>
    <w:sectPr w:rsidR="00373D9E" w:rsidSect="006075BB">
      <w:footerReference w:type="default" r:id="rId8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A3" w:rsidRDefault="00372C30">
      <w:r>
        <w:separator/>
      </w:r>
    </w:p>
  </w:endnote>
  <w:endnote w:type="continuationSeparator" w:id="0">
    <w:p w:rsidR="000D1AA3" w:rsidRDefault="0037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1" w:rsidRDefault="009B5AD6" w:rsidP="002E71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A3" w:rsidRDefault="00372C30">
      <w:r>
        <w:separator/>
      </w:r>
    </w:p>
  </w:footnote>
  <w:footnote w:type="continuationSeparator" w:id="0">
    <w:p w:rsidR="000D1AA3" w:rsidRDefault="0037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A21"/>
    <w:multiLevelType w:val="hybridMultilevel"/>
    <w:tmpl w:val="0260814E"/>
    <w:lvl w:ilvl="0" w:tplc="871A7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5A825F2"/>
    <w:multiLevelType w:val="hybridMultilevel"/>
    <w:tmpl w:val="4C3880D0"/>
    <w:lvl w:ilvl="0" w:tplc="77741F8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AB9067B"/>
    <w:multiLevelType w:val="hybridMultilevel"/>
    <w:tmpl w:val="BC72F9F4"/>
    <w:lvl w:ilvl="0" w:tplc="D81AF3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7"/>
    <w:rsid w:val="00073A9F"/>
    <w:rsid w:val="000D1AA3"/>
    <w:rsid w:val="00181A49"/>
    <w:rsid w:val="00372C30"/>
    <w:rsid w:val="00373D9E"/>
    <w:rsid w:val="00816E4C"/>
    <w:rsid w:val="009B5AD6"/>
    <w:rsid w:val="00BB04FF"/>
    <w:rsid w:val="00D66A0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8EB6"/>
  <w15:chartTrackingRefBased/>
  <w15:docId w15:val="{7174ED26-C171-4550-955B-FA8F68E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A9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A9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73A9F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73A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73A9F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73A9F"/>
    <w:rPr>
      <w:rFonts w:ascii="Arial" w:eastAsia="Times New Roman" w:hAnsi="Arial" w:cs="Arial"/>
      <w:sz w:val="26"/>
      <w:szCs w:val="26"/>
      <w:lang w:eastAsia="ru-RU"/>
    </w:rPr>
  </w:style>
  <w:style w:type="table" w:styleId="a7">
    <w:name w:val="Table Grid"/>
    <w:basedOn w:val="a1"/>
    <w:uiPriority w:val="99"/>
    <w:rsid w:val="00073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073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A9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нак2 Знак Знак Знак Знак Знак Знак"/>
    <w:basedOn w:val="a"/>
    <w:uiPriority w:val="99"/>
    <w:rsid w:val="00073A9F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073A9F"/>
    <w:pPr>
      <w:widowControl/>
      <w:autoSpaceDE/>
      <w:autoSpaceDN/>
      <w:adjustRightInd/>
      <w:ind w:left="720" w:firstLine="340"/>
      <w:jc w:val="left"/>
    </w:pPr>
    <w:rPr>
      <w:color w:val="00000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07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073A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No Spacing"/>
    <w:uiPriority w:val="1"/>
    <w:qFormat/>
    <w:rsid w:val="00073A9F"/>
    <w:pPr>
      <w:spacing w:after="0" w:line="240" w:lineRule="auto"/>
    </w:pPr>
    <w:rPr>
      <w:rFonts w:eastAsia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66A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6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7</cp:revision>
  <cp:lastPrinted>2022-03-17T09:09:00Z</cp:lastPrinted>
  <dcterms:created xsi:type="dcterms:W3CDTF">2022-03-16T04:46:00Z</dcterms:created>
  <dcterms:modified xsi:type="dcterms:W3CDTF">2022-03-23T01:44:00Z</dcterms:modified>
</cp:coreProperties>
</file>