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9F" w:rsidRPr="00CD6235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816E4C" w:rsidP="00073A9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D6235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="00816E4C"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7C608E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CD6235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  <w:r w:rsidRPr="00CD6235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16"/>
          <w:szCs w:val="16"/>
        </w:rPr>
      </w:pPr>
    </w:p>
    <w:p w:rsidR="00073A9F" w:rsidRPr="00CD6235" w:rsidRDefault="0014114D" w:rsidP="00073A9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11.04</w:t>
      </w:r>
      <w:r w:rsidR="00073A9F" w:rsidRPr="00CD6235">
        <w:rPr>
          <w:rFonts w:ascii="Times New Roman" w:hAnsi="Times New Roman" w:cs="Times New Roman"/>
          <w:sz w:val="26"/>
          <w:szCs w:val="26"/>
        </w:rPr>
        <w:t>.</w:t>
      </w:r>
      <w:r w:rsidRPr="00CD6235">
        <w:rPr>
          <w:rFonts w:ascii="Times New Roman" w:hAnsi="Times New Roman" w:cs="Times New Roman"/>
          <w:sz w:val="26"/>
          <w:szCs w:val="26"/>
        </w:rPr>
        <w:t>2023</w:t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  <w:t xml:space="preserve">    №</w:t>
      </w:r>
      <w:r w:rsidR="003F600A">
        <w:rPr>
          <w:rFonts w:ascii="Times New Roman" w:hAnsi="Times New Roman" w:cs="Times New Roman"/>
          <w:sz w:val="26"/>
          <w:szCs w:val="26"/>
        </w:rPr>
        <w:t>13</w:t>
      </w:r>
      <w:r w:rsidR="00073A9F" w:rsidRPr="00CD6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A9F" w:rsidRPr="00CD6235" w:rsidRDefault="00073A9F" w:rsidP="00073A9F">
      <w:pPr>
        <w:ind w:left="3600" w:firstLine="0"/>
        <w:rPr>
          <w:rFonts w:ascii="Times New Roman" w:hAnsi="Times New Roman" w:cs="Times New Roman"/>
        </w:rPr>
      </w:pPr>
      <w:r w:rsidRPr="00CD6235">
        <w:rPr>
          <w:rFonts w:ascii="Times New Roman" w:hAnsi="Times New Roman" w:cs="Times New Roman"/>
        </w:rPr>
        <w:t xml:space="preserve">          г. Заринск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73A9F" w:rsidRPr="00AF45C6" w:rsidTr="00B47EA5">
        <w:tc>
          <w:tcPr>
            <w:tcW w:w="4644" w:type="dxa"/>
          </w:tcPr>
          <w:p w:rsidR="00073A9F" w:rsidRPr="00AF45C6" w:rsidRDefault="00AF45C6" w:rsidP="009E5EBF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Об о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тчёт</w:t>
            </w: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е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о </w:t>
            </w:r>
            <w:r w:rsidR="009E5EB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деятельности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="00CD6235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контрольно-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счётной палаты </w:t>
            </w:r>
            <w:proofErr w:type="spellStart"/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Заринского</w:t>
            </w:r>
            <w:proofErr w:type="spellEnd"/>
            <w:r w:rsidR="0014114D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района Алтайского края за 2022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год. </w:t>
            </w:r>
          </w:p>
        </w:tc>
      </w:tr>
    </w:tbl>
    <w:p w:rsidR="00073A9F" w:rsidRPr="00AF45C6" w:rsidRDefault="00073A9F" w:rsidP="00073A9F">
      <w:pPr>
        <w:pStyle w:val="a5"/>
        <w:rPr>
          <w:rFonts w:ascii="Times New Roman" w:hAnsi="Times New Roman" w:cs="Times New Roman"/>
          <w:color w:val="FF0000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Рассмотрев отчёт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CD6235">
        <w:rPr>
          <w:rFonts w:ascii="Times New Roman" w:hAnsi="Times New Roman" w:cs="Times New Roman"/>
          <w:sz w:val="26"/>
          <w:szCs w:val="26"/>
        </w:rPr>
        <w:t>контрольно-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CD6235">
        <w:rPr>
          <w:rFonts w:ascii="Times New Roman" w:hAnsi="Times New Roman" w:cs="Times New Roman"/>
          <w:bCs/>
          <w:sz w:val="26"/>
          <w:szCs w:val="26"/>
        </w:rPr>
        <w:t>Заринског</w:t>
      </w:r>
      <w:r w:rsidR="0014114D" w:rsidRPr="00CD6235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14114D" w:rsidRPr="00CD6235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2022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CD6235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депутатов,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 Уставом муниципального образования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 Алтайского края, </w:t>
      </w:r>
      <w:r w:rsidR="009E5EBF" w:rsidRPr="00CD6235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контрольно-счетной палате </w:t>
      </w:r>
      <w:proofErr w:type="spellStart"/>
      <w:r w:rsidR="009E5EBF"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E5EBF"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, утвержденного решением </w:t>
      </w:r>
      <w:proofErr w:type="spellStart"/>
      <w:r w:rsidR="009E5EBF"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E5EBF"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 народных депутатов от 22.03.2022 г.№22</w:t>
      </w: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Р Е Ш И Л:</w:t>
      </w:r>
    </w:p>
    <w:p w:rsidR="00073A9F" w:rsidRPr="00CD6235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1. Отчет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CD6235">
        <w:rPr>
          <w:rFonts w:ascii="Times New Roman" w:hAnsi="Times New Roman" w:cs="Times New Roman"/>
          <w:sz w:val="26"/>
          <w:szCs w:val="26"/>
        </w:rPr>
        <w:t>контрольно-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счётной палаты </w:t>
      </w:r>
      <w:proofErr w:type="spellStart"/>
      <w:r w:rsidRPr="00CD6235">
        <w:rPr>
          <w:rFonts w:ascii="Times New Roman" w:hAnsi="Times New Roman" w:cs="Times New Roman"/>
          <w:bCs/>
          <w:sz w:val="26"/>
          <w:szCs w:val="26"/>
        </w:rPr>
        <w:t>Заринског</w:t>
      </w:r>
      <w:r w:rsidR="0014114D" w:rsidRPr="00CD6235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14114D" w:rsidRPr="00CD6235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за 2022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CD6235">
        <w:rPr>
          <w:rFonts w:ascii="Times New Roman" w:hAnsi="Times New Roman" w:cs="Times New Roman"/>
          <w:sz w:val="26"/>
          <w:szCs w:val="26"/>
        </w:rPr>
        <w:t>принять к сведению (прилагается).</w:t>
      </w: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2. Предложить контрольно-счетной палате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продолжить работу по дальнейшему контролю за использованием муниципального имущества, деятельностью муниципальных унитарных предприятий, учредителями которых являются органы местного самоуправления муниципального образования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район, предотвращению неэффективного и неправомерного расходования бюджетных средств, выявлению резервов увеличения доходной части районного бюджета.</w:t>
      </w: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2.Контроль за выполнением настоящего решения возложить на постоянную комиссию по финансам и экономике. </w:t>
      </w:r>
    </w:p>
    <w:p w:rsidR="00073A9F" w:rsidRPr="00CD6235" w:rsidRDefault="00073A9F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816E4C" w:rsidRPr="00CD6235" w:rsidRDefault="00816E4C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73A9F" w:rsidRPr="00CD6235" w:rsidRDefault="0014114D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 xml:space="preserve"> Председатель</w:t>
      </w:r>
      <w:r w:rsidR="00372C30" w:rsidRPr="00CD6235">
        <w:rPr>
          <w:rFonts w:ascii="Times New Roman" w:hAnsi="Times New Roman" w:cs="Times New Roman"/>
          <w:szCs w:val="24"/>
        </w:rPr>
        <w:t xml:space="preserve"> </w:t>
      </w:r>
      <w:r w:rsidR="00073A9F" w:rsidRPr="00CD6235">
        <w:rPr>
          <w:rFonts w:ascii="Times New Roman" w:hAnsi="Times New Roman" w:cs="Times New Roman"/>
          <w:szCs w:val="24"/>
        </w:rPr>
        <w:t xml:space="preserve">районного </w:t>
      </w: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>Совета народных депутатов</w:t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  <w:t xml:space="preserve">       </w:t>
      </w:r>
      <w:proofErr w:type="spellStart"/>
      <w:r w:rsidR="00372C30" w:rsidRPr="00CD6235">
        <w:rPr>
          <w:rFonts w:ascii="Times New Roman" w:hAnsi="Times New Roman" w:cs="Times New Roman"/>
          <w:szCs w:val="24"/>
        </w:rPr>
        <w:t>Л.С.Турубанова</w:t>
      </w:r>
      <w:proofErr w:type="spellEnd"/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>ПРИНЯТ</w:t>
      </w:r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proofErr w:type="spellStart"/>
      <w:r w:rsidRPr="00CD6235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</w:p>
    <w:p w:rsidR="00073A9F" w:rsidRPr="00CD6235" w:rsidRDefault="00073A9F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>районного</w:t>
      </w:r>
      <w:r w:rsidR="00372C30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6235">
        <w:rPr>
          <w:rFonts w:ascii="Times New Roman" w:hAnsi="Times New Roman"/>
          <w:sz w:val="26"/>
          <w:szCs w:val="26"/>
          <w:lang w:eastAsia="ru-RU"/>
        </w:rPr>
        <w:t>Совета</w:t>
      </w:r>
      <w:r w:rsidR="00372C30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6235">
        <w:rPr>
          <w:rFonts w:ascii="Times New Roman" w:hAnsi="Times New Roman"/>
          <w:sz w:val="26"/>
          <w:szCs w:val="26"/>
          <w:lang w:eastAsia="ru-RU"/>
        </w:rPr>
        <w:t xml:space="preserve">народных депутатов                                                                                                                   </w:t>
      </w:r>
    </w:p>
    <w:p w:rsidR="00073A9F" w:rsidRPr="00CD6235" w:rsidRDefault="00816E4C" w:rsidP="00CD6235">
      <w:pPr>
        <w:pStyle w:val="ac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D6235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CD6235" w:rsidRPr="00CD6235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D623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D6235">
        <w:rPr>
          <w:rFonts w:ascii="Times New Roman" w:hAnsi="Times New Roman"/>
          <w:sz w:val="26"/>
          <w:szCs w:val="26"/>
          <w:lang w:eastAsia="ru-RU"/>
        </w:rPr>
        <w:t>11</w:t>
      </w:r>
      <w:r w:rsidR="009B5AD6" w:rsidRPr="00CD6235">
        <w:rPr>
          <w:rFonts w:ascii="Times New Roman" w:hAnsi="Times New Roman"/>
          <w:sz w:val="26"/>
          <w:szCs w:val="26"/>
          <w:lang w:eastAsia="ru-RU"/>
        </w:rPr>
        <w:t>.0</w:t>
      </w:r>
      <w:r w:rsidR="00CD6235">
        <w:rPr>
          <w:rFonts w:ascii="Times New Roman" w:hAnsi="Times New Roman"/>
          <w:sz w:val="26"/>
          <w:szCs w:val="26"/>
          <w:lang w:eastAsia="ru-RU"/>
        </w:rPr>
        <w:t>4.2023</w:t>
      </w:r>
      <w:r w:rsidR="009B5AD6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>№</w:t>
      </w:r>
      <w:r w:rsidR="003F600A">
        <w:rPr>
          <w:rFonts w:ascii="Times New Roman" w:hAnsi="Times New Roman"/>
          <w:sz w:val="26"/>
          <w:szCs w:val="26"/>
          <w:lang w:eastAsia="ru-RU"/>
        </w:rPr>
        <w:t>13</w:t>
      </w:r>
      <w:r w:rsidR="00073A9F" w:rsidRPr="00CD623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6235" w:rsidRPr="00CD6235" w:rsidRDefault="00CD6235" w:rsidP="00816E4C">
      <w:pPr>
        <w:pStyle w:val="ac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073A9F" w:rsidRPr="00CD6235" w:rsidRDefault="00073A9F" w:rsidP="00073A9F">
      <w:pPr>
        <w:ind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D6235" w:rsidRPr="00CD6235" w:rsidRDefault="00CD6235" w:rsidP="00CD6235">
      <w:pPr>
        <w:spacing w:line="228" w:lineRule="auto"/>
        <w:ind w:left="1089" w:firstLine="3442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Отчет</w:t>
      </w:r>
    </w:p>
    <w:p w:rsidR="003F600A" w:rsidRPr="003F600A" w:rsidRDefault="00CD6235" w:rsidP="003F600A">
      <w:pPr>
        <w:pStyle w:val="aa"/>
        <w:spacing w:line="228" w:lineRule="auto"/>
        <w:ind w:firstLine="0"/>
        <w:rPr>
          <w:rFonts w:ascii="Times New Roman" w:hAnsi="Times New Roman" w:cs="Times New Roman"/>
        </w:rPr>
      </w:pPr>
      <w:r w:rsidRPr="003F600A">
        <w:rPr>
          <w:rFonts w:ascii="Times New Roman" w:hAnsi="Times New Roman" w:cs="Times New Roman"/>
        </w:rPr>
        <w:t xml:space="preserve">о деятельности контрольно-счетной палаты </w:t>
      </w:r>
      <w:proofErr w:type="spellStart"/>
      <w:r w:rsidRPr="003F600A">
        <w:rPr>
          <w:rFonts w:ascii="Times New Roman" w:hAnsi="Times New Roman" w:cs="Times New Roman"/>
        </w:rPr>
        <w:t>Заринского</w:t>
      </w:r>
      <w:proofErr w:type="spellEnd"/>
      <w:r w:rsidRPr="003F600A">
        <w:rPr>
          <w:rFonts w:ascii="Times New Roman" w:hAnsi="Times New Roman" w:cs="Times New Roman"/>
        </w:rPr>
        <w:t xml:space="preserve"> района </w:t>
      </w:r>
    </w:p>
    <w:p w:rsidR="00CD6235" w:rsidRPr="003F600A" w:rsidRDefault="00CD6235" w:rsidP="003F600A">
      <w:pPr>
        <w:spacing w:line="228" w:lineRule="auto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600A">
        <w:rPr>
          <w:rFonts w:ascii="Times New Roman" w:hAnsi="Times New Roman" w:cs="Times New Roman"/>
        </w:rPr>
        <w:t>Алтайского края за 2022 год</w:t>
      </w:r>
    </w:p>
    <w:p w:rsidR="00CD6235" w:rsidRPr="00CD6235" w:rsidRDefault="00CD6235" w:rsidP="00CD6235">
      <w:pPr>
        <w:spacing w:after="311" w:line="253" w:lineRule="auto"/>
        <w:ind w:left="876" w:right="775" w:hanging="10"/>
        <w:jc w:val="left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Отчет о деятельности контрольно-счетной палаты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за 2022 год подготовлен во исполнение пункта 2 статьи 19 Федерального закона от 07.02.2011 № 6-ФЗ «0б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пунктом 2 статьи 20 Положения о контрольно-счетной палате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утвержденного решением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 депутатов Алтайского края от 22.03.2022 № 22.</w:t>
      </w:r>
    </w:p>
    <w:p w:rsidR="00CD6235" w:rsidRPr="00CD6235" w:rsidRDefault="00CD6235" w:rsidP="00CD6235">
      <w:pPr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Общие сведения о деятельности контрольно-счетной палаты</w:t>
      </w:r>
    </w:p>
    <w:p w:rsidR="00CD6235" w:rsidRPr="00CD6235" w:rsidRDefault="00CD6235" w:rsidP="00CD6235">
      <w:pPr>
        <w:ind w:left="714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D6235" w:rsidRPr="00CD6235" w:rsidRDefault="00CD6235" w:rsidP="00CD6235">
      <w:pPr>
        <w:ind w:left="71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—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района) является постоянно действующим органом внешнего муниципального финансового контроля, образована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Заринским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Алтайского края и ему подотчетна.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обладает правами юридического лица и осуществляет свою деятельность самостоятельно. 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основывается на принципах законности, объективности, эффективности, независимости, открытости и гласности.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Порядок организации и деятельности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определялся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субъекта Российской Федерации и муниципальных образований», Уставом муниципального образования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район, стандартами внешнего муниципального финансового контроля, Регламентом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и соглашениями «О передаче контрольно-счетному органу муниципального района полномочий контрольно-счетных органов поселений по осуществлению внешнего муниципального финансового контроля», а также иными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Алтайского края  и муниципальными нормативными правовыми актами.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входит в состав Совета контрольно-счетных органов Алтайского края, зарегистрирована на Портале Счетной палаты Российской Федерации и контрольно-счетных органов Российской Федерации и имеет доступ ко всем разделам и сервисам закрытой части контрольно-счетных органов Российской Федерации.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lastRenderedPageBreak/>
        <w:t>Планирование деятельности осуществлялось исходя из наличия трудовых ресурсов (2 человека), обязательности соблюдения процедур и сроков, установленных бюджетным законодательством, а также с учетом полномочий, предусмотренных Положением о КСП. Все проверки КСП были ориентированы на оказание практической помощи объектам проверок в части правильного ведения бухгалтерского учёта, составления бюджетной отчётности, соблюдения требований законодательства и нормативно-правовых актов при использовании муниципального имущества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Фактическая численность работников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состоянию на 31.12.2022 года составила 2 штатные единицы.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Председатель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принимал участие в работе сессий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края,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присутствовал на публичных слушаниях по рассмотрению проекта бюджета и отчету об его исполнении.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осуществлялась на основании плана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который разработан и утвержден Председателем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(в течении 2022 года вносились изменения в План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связи с обращениями граждан, в связи с проведением совместного контрольного мероприятия со Счетной палатой Алтайского края, в связи с обращением Прокуратуры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района).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План работы на 2022 год (с изменениями) размещен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информационно-коммуникационной сети «Интернет», выполнен в полном объеме и в установленные сроки.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Полномочия по внешнему финансовому контролю реализованы в форме контрольных и экспертно-аналитических мероприятий и в рамках предварительного, текущего и последующего контроля.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В соответствии с Планом работы, в целях реализации полномочий, контрольно-счетной палатой всего проведено 42 контрольных и экспертно-аналитических мероприятий.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Результаты проведенных мероприятий доведены до сведения объектов контроля и направлены Главе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размещены в информационно-коммуникационной сети «Интернет»,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разделе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«Контрольно-счетная палата».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spacing w:after="33" w:line="228" w:lineRule="auto"/>
        <w:ind w:left="2520" w:right="537" w:hanging="10"/>
        <w:jc w:val="left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2. Экспертно-аналитическая деятельность</w:t>
      </w:r>
    </w:p>
    <w:p w:rsidR="00CD6235" w:rsidRPr="00CD6235" w:rsidRDefault="00CD6235" w:rsidP="00CD6235">
      <w:pPr>
        <w:spacing w:after="33" w:line="228" w:lineRule="auto"/>
        <w:ind w:left="2520" w:right="537" w:hanging="10"/>
        <w:jc w:val="left"/>
        <w:rPr>
          <w:rFonts w:ascii="Times New Roman" w:hAnsi="Times New Roman" w:cs="Times New Roman"/>
          <w:sz w:val="16"/>
          <w:szCs w:val="16"/>
        </w:rPr>
      </w:pPr>
    </w:p>
    <w:p w:rsidR="00CD6235" w:rsidRPr="00CD6235" w:rsidRDefault="00CD6235" w:rsidP="00CD6235">
      <w:pPr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отчетном периоде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осуществляла экспертно-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CD6235">
        <w:rPr>
          <w:rFonts w:ascii="Times New Roman" w:hAnsi="Times New Roman" w:cs="Times New Roman"/>
          <w:sz w:val="26"/>
          <w:szCs w:val="26"/>
        </w:rPr>
        <w:t xml:space="preserve">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целесообразности и эффективности использования средств бюджета муниципальных образований, муниципальной собственности и имущества.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экспертно-аналитической деятельности в 2022 году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выдано 29 экспертных заключений, в том числе: 20 - по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сельсоветам, 4 - по главным распорядителям бюджетных средств, 1 - по районному бюджету, проведены - 2 экспертизы бюджета за полугодие и 9 месяцев 2022 года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4 - внесении изменений в решения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районных бюджетах на 2022 и плановый период 2023-2024 годы, по 5 обращениям граждан, заключения по 4 муниципальным программам, 2 заключения по Комитету Администрации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образованию и делам молодежи и Комитету Администрации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lastRenderedPageBreak/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по культуре.</w:t>
      </w:r>
    </w:p>
    <w:p w:rsidR="00CD6235" w:rsidRPr="00CD6235" w:rsidRDefault="00CD6235" w:rsidP="00CD6235">
      <w:pPr>
        <w:spacing w:after="44"/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Общая сумма проверенных средств в ходе экспертно-аналитической деятельности составила 272 672, 0 тыс. рублей.</w:t>
      </w:r>
    </w:p>
    <w:p w:rsidR="00CD6235" w:rsidRPr="00CD6235" w:rsidRDefault="00CD6235" w:rsidP="00CD6235">
      <w:pPr>
        <w:spacing w:after="44"/>
        <w:ind w:left="52" w:right="67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На проект районного бюджета и проекты бюджетов сельских поселений на 2022 год и плановый период 2023-2024 годов, выдано 20 положительных заключений </w:t>
      </w:r>
      <w:r w:rsidRPr="00CD6235">
        <w:rPr>
          <w:rFonts w:ascii="Times New Roman" w:hAnsi="Times New Roman" w:cs="Times New Roman"/>
          <w:noProof/>
          <w:sz w:val="26"/>
          <w:szCs w:val="26"/>
        </w:rPr>
        <w:t>-</w:t>
      </w:r>
      <w:r w:rsidRPr="00CD6235">
        <w:rPr>
          <w:rFonts w:ascii="Times New Roman" w:hAnsi="Times New Roman" w:cs="Times New Roman"/>
          <w:sz w:val="26"/>
          <w:szCs w:val="26"/>
        </w:rPr>
        <w:t xml:space="preserve"> проведена внешняя проверка 20 отчетов по исполнению бюджетов сельских поселений и районного бюджета за 2021 год, даны заключения на проекты решений по отчетам об исполнении бюджетов поселений и районного бюджета за 2021 год, годовые отчеты администраций признаны достоверными и соответствующими нормам действующего бюджетного законодательства;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 о порядке взаимодействия между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по вопросам, входящим в компетенцию и представляющий взаимный интерес в сфере выявления правонарушений, связанных с использованием средств местного бюджета и имущества, находящегося в муниципальной собственности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за 2022 год направлено 3 обращения для организации проверочного мероприятия по обращению граждан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В ходе проведения внешней проверки расходной части бюджетов сельских поселений, </w:t>
      </w:r>
      <w:r w:rsidRPr="00CD6235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</w:t>
      </w:r>
      <w:r w:rsidRPr="00CD6235">
        <w:rPr>
          <w:rFonts w:ascii="Times New Roman" w:hAnsi="Times New Roman" w:cs="Times New Roman"/>
          <w:color w:val="1A1A1A"/>
          <w:sz w:val="26"/>
          <w:szCs w:val="26"/>
        </w:rPr>
        <w:t>выявлено следующее: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>в нарушение пункта 167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представленная бюджетная отчетность разделе два «Сведений о дебиторской и кредиторской задолженности» за 2021 год не раскрыта аналитическая информация о просроченной дебиторской (кредиторской) задолженности;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в нарушение пункта 152 Инструкции 191н администрацией в пояснительной записке (ф. 0503160) отсутствуют: информация об основных направлениях деятельности сведения об особенностях ведения бюджетного учета; 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>сведения об исполнении текстовых статей решения о бюджете.</w:t>
      </w:r>
    </w:p>
    <w:p w:rsidR="00CD6235" w:rsidRPr="00CD6235" w:rsidRDefault="00CD6235" w:rsidP="00CD6235">
      <w:pPr>
        <w:spacing w:after="338"/>
        <w:ind w:left="772" w:right="67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spacing w:after="4" w:line="253" w:lineRule="auto"/>
        <w:ind w:left="87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3. Контрольные мероприятия, проведенные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</w:t>
      </w:r>
    </w:p>
    <w:p w:rsidR="00CD6235" w:rsidRPr="00CD6235" w:rsidRDefault="00CD6235" w:rsidP="00CD6235">
      <w:pPr>
        <w:spacing w:after="4" w:line="253" w:lineRule="auto"/>
        <w:ind w:left="876" w:hanging="10"/>
        <w:jc w:val="center"/>
        <w:rPr>
          <w:rFonts w:ascii="Times New Roman" w:hAnsi="Times New Roman" w:cs="Times New Roman"/>
          <w:sz w:val="16"/>
          <w:szCs w:val="1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Контрольная деятельность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2022 году осуществлялась в соответствии с утвержденным Планом работы.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Контрольные мероприятия проводились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в 1 автономном учреждении и 1 муниципальном унитарном предприятии, получающих и использующих средства бюджета и использующих муниципальную собственность.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Всего контрольными мероприятиями было охвачено: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«Тепло» (выборочная проверка проведена по результатам контрольного мероприятия за 2021 год «Анализ результатов финансово-хозяйственной деятельности МУП «Тепло» за 2020 год.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установлено: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- руководителем отсутствует надлежащим образом контроль за движением финансовых средств своего учреждения, указанные нарушения по результатам прошлого акта проверки не устранены.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Основные нарушения: нарушение срока уплаты налогов, оплата за </w:t>
      </w:r>
      <w:r w:rsidRPr="00CD6235">
        <w:rPr>
          <w:rFonts w:ascii="Times New Roman" w:hAnsi="Times New Roman" w:cs="Times New Roman"/>
          <w:sz w:val="26"/>
          <w:szCs w:val="26"/>
        </w:rPr>
        <w:lastRenderedPageBreak/>
        <w:t>несвоевременное перечисление пени и штрафов, нарушения срока сдачи авансовых отчетов по полученным в подотчет средств, хранение в неприспособленном помещение наличных средств, сверх установленного лимита.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При проверке оплаты труда по гражданско-правовым договорам установлено, что оплата производилась без подтверждения объема выполненных работ, отсутствуют акты приема работы, не указывается время выполнения работ, отсутствует обоснование стоимости работы.</w:t>
      </w:r>
    </w:p>
    <w:p w:rsidR="00CD6235" w:rsidRPr="00CD6235" w:rsidRDefault="00CD6235" w:rsidP="00CD6235">
      <w:pPr>
        <w:pStyle w:val="3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CD6235" w:rsidRPr="00CD6235" w:rsidRDefault="00CD6235" w:rsidP="00CD6235">
      <w:pPr>
        <w:pStyle w:val="3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CD6235">
        <w:rPr>
          <w:rFonts w:ascii="Times New Roman" w:hAnsi="Times New Roman" w:cs="Times New Roman"/>
          <w:color w:val="auto"/>
          <w:sz w:val="26"/>
          <w:szCs w:val="26"/>
        </w:rPr>
        <w:t>В 2022 году проведено контрольное мероприятие совместно со Счетной палатой Алтайского края по вопросу «Проверка эффективности использования дорожно-эксплуатационной техники и оборудования, приобретенных за счет средств краевого бюджета и переданных муниципальным районам и городским округам Алтайского края».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Цель контрольного мероприятия: проанализировать влияние факта получения техники на объемы расходов за счет средств местных бюджетов, связанных с выполнением дорожных работ для нужд муниципального образования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Предмет контрольного мероприятия: </w:t>
      </w:r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деятельность органов местного самоуправления Алтайского края, связанная с использованием дорожно-эксплуатационной техники и оборудования, приобретенных за счет средств краевого бюджета и переданных муниципальному образованию </w:t>
      </w:r>
      <w:proofErr w:type="spellStart"/>
      <w:r w:rsidRPr="00CD6235">
        <w:rPr>
          <w:rFonts w:ascii="Times New Roman" w:eastAsia="Calibri" w:hAnsi="Times New Roman" w:cs="Times New Roman"/>
          <w:sz w:val="26"/>
          <w:szCs w:val="26"/>
        </w:rPr>
        <w:t>Заринский</w:t>
      </w:r>
      <w:proofErr w:type="spellEnd"/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 район Алтайского края.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Объем проверенных бюджетных средств составил 1148,1 тыс. рублей. Выявлено нарушение законодательства по результатам проведения контрольного мероприятия на сумму 27,9 тыс. руб.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недопоступление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платежей в бюджет по договору аренды.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Основные замечания: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- арендная плата по договору аренды не соответствует </w:t>
      </w:r>
      <w:proofErr w:type="gramStart"/>
      <w:r w:rsidRPr="00CD6235">
        <w:rPr>
          <w:rFonts w:ascii="Times New Roman" w:eastAsia="Calibri" w:hAnsi="Times New Roman" w:cs="Times New Roman"/>
          <w:sz w:val="26"/>
          <w:szCs w:val="26"/>
        </w:rPr>
        <w:t xml:space="preserve">оценочной </w:t>
      </w:r>
      <w:r w:rsidRPr="00CD6235">
        <w:rPr>
          <w:rFonts w:ascii="Times New Roman" w:hAnsi="Times New Roman" w:cs="Times New Roman"/>
          <w:sz w:val="26"/>
          <w:szCs w:val="26"/>
        </w:rPr>
        <w:t>стоимости</w:t>
      </w:r>
      <w:proofErr w:type="gramEnd"/>
      <w:r w:rsidRPr="00CD6235">
        <w:rPr>
          <w:rFonts w:ascii="Times New Roman" w:hAnsi="Times New Roman" w:cs="Times New Roman"/>
          <w:sz w:val="26"/>
          <w:szCs w:val="26"/>
        </w:rPr>
        <w:t xml:space="preserve"> указанной в отчете «Об определении арендной платы за транспортное средство»;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отсутствует надлежащий контроль за своевременностью поступления платежей по договору аренды муниципального имущества (платежи поступают не в установленные сроки);</w:t>
      </w:r>
    </w:p>
    <w:p w:rsidR="00CD6235" w:rsidRPr="00CD6235" w:rsidRDefault="00CD6235" w:rsidP="00CD623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не применяются меры по взысканию пеней за несвоевременное выполнение обязательства по уплате арендных платежей;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eastAsia="Calibri" w:hAnsi="Times New Roman" w:cs="Times New Roman"/>
          <w:sz w:val="26"/>
          <w:szCs w:val="26"/>
        </w:rPr>
        <w:t>- акты сверки взаимных расчетов не составляются.</w:t>
      </w:r>
    </w:p>
    <w:p w:rsidR="00CD6235" w:rsidRPr="00CD6235" w:rsidRDefault="00CD6235" w:rsidP="00CD623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CD6235">
        <w:rPr>
          <w:rFonts w:ascii="Times New Roman" w:hAnsi="Times New Roman"/>
          <w:sz w:val="26"/>
          <w:szCs w:val="26"/>
        </w:rPr>
        <w:t xml:space="preserve">Контрольным мероприятием отмечено, что арендатором техники ИП </w:t>
      </w:r>
      <w:proofErr w:type="spellStart"/>
      <w:r w:rsidRPr="00CD6235">
        <w:rPr>
          <w:rFonts w:ascii="Times New Roman" w:hAnsi="Times New Roman"/>
          <w:sz w:val="26"/>
          <w:szCs w:val="26"/>
        </w:rPr>
        <w:t>Друшляков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 не ведутся путевые листы, зачастую муниципальными предприятиями и учреждениями, в нарушение приказа Минтранса России от 11.09.2020 № 368 «Об утверждении обязательных реквизитов и порядка заполнения путевых листов», в путевых листах отсутствуют показания </w:t>
      </w:r>
      <w:proofErr w:type="spellStart"/>
      <w:r w:rsidRPr="00CD6235">
        <w:rPr>
          <w:rFonts w:ascii="Times New Roman" w:hAnsi="Times New Roman"/>
          <w:sz w:val="26"/>
          <w:szCs w:val="26"/>
        </w:rPr>
        <w:t>тахоспидометра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, часы работы, движение дизельного топлива, виды выполняемой работы, объекты, на которых работает техника, что не позволяет достоверно определить использование техники в выполнении работ для муниципальных нужд. При проведении контрольного мероприятия с ИП </w:t>
      </w:r>
      <w:proofErr w:type="spellStart"/>
      <w:r w:rsidRPr="00CD6235">
        <w:rPr>
          <w:rFonts w:ascii="Times New Roman" w:hAnsi="Times New Roman"/>
          <w:sz w:val="26"/>
          <w:szCs w:val="26"/>
        </w:rPr>
        <w:t>Друшляков</w:t>
      </w:r>
      <w:proofErr w:type="spellEnd"/>
      <w:r w:rsidRPr="00CD6235">
        <w:rPr>
          <w:rFonts w:ascii="Times New Roman" w:hAnsi="Times New Roman"/>
          <w:sz w:val="26"/>
          <w:szCs w:val="26"/>
        </w:rPr>
        <w:t xml:space="preserve"> допускались </w:t>
      </w:r>
      <w:proofErr w:type="gramStart"/>
      <w:r w:rsidRPr="00CD6235">
        <w:rPr>
          <w:rFonts w:ascii="Times New Roman" w:hAnsi="Times New Roman"/>
          <w:sz w:val="26"/>
          <w:szCs w:val="26"/>
        </w:rPr>
        <w:t>случаи отсутствия документов</w:t>
      </w:r>
      <w:proofErr w:type="gramEnd"/>
      <w:r w:rsidRPr="00CD6235">
        <w:rPr>
          <w:rFonts w:ascii="Times New Roman" w:hAnsi="Times New Roman"/>
          <w:sz w:val="26"/>
          <w:szCs w:val="26"/>
        </w:rPr>
        <w:t xml:space="preserve"> подтверждающие факт выполнения работ (населенный пункт, время работы, какая протяженность дорог, подпись о принятии работ).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целях принятия надлежащих мер, руководителям проверенных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 xml:space="preserve">объектов, направлено представление, которыми внесены предложения об устранении выявленных нарушений и недостатков, на которые получены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6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235">
        <w:rPr>
          <w:rFonts w:ascii="Times New Roman" w:hAnsi="Times New Roman" w:cs="Times New Roman"/>
          <w:sz w:val="26"/>
          <w:szCs w:val="26"/>
        </w:rPr>
        <w:t>ответы по устранению вышеуказанного.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председателем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протоколы об </w:t>
      </w:r>
      <w:r w:rsidRPr="00CD6235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 не составлялись.</w:t>
      </w:r>
    </w:p>
    <w:p w:rsidR="00CD6235" w:rsidRPr="00CD6235" w:rsidRDefault="00CD6235" w:rsidP="00CD6235">
      <w:pPr>
        <w:shd w:val="clear" w:color="auto" w:fill="FFFFFF"/>
        <w:ind w:firstLine="709"/>
        <w:rPr>
          <w:rFonts w:ascii="Times New Roman" w:hAnsi="Times New Roman" w:cs="Times New Roman"/>
          <w:color w:val="1A1A1A"/>
          <w:sz w:val="26"/>
          <w:szCs w:val="26"/>
        </w:rPr>
      </w:pPr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Контрольно-счетной палатой в отчетном периоде в соответствии с частью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1 статьи 8 Положения о контрольно-счетной палате, Стандартом внешнего муниципального финансового контроля «Проведение финансово-экономической экспертизы проектов муниципальных правовых актов и муниципальных программ </w:t>
      </w:r>
      <w:proofErr w:type="spellStart"/>
      <w:r w:rsidRPr="00CD6235">
        <w:rPr>
          <w:rFonts w:ascii="Times New Roman" w:hAnsi="Times New Roman" w:cs="Times New Roman"/>
          <w:color w:val="1A1A1A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 района» проведено четыре экспертизы муниципальных программ администрации </w:t>
      </w:r>
      <w:proofErr w:type="spellStart"/>
      <w:r w:rsidRPr="00CD6235">
        <w:rPr>
          <w:rFonts w:ascii="Times New Roman" w:hAnsi="Times New Roman" w:cs="Times New Roman"/>
          <w:color w:val="1A1A1A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color w:val="1A1A1A"/>
          <w:sz w:val="26"/>
          <w:szCs w:val="26"/>
        </w:rPr>
        <w:t xml:space="preserve"> района. Разработчикам четырех муниципальных программ по результатам проведенной экспертизы было направлено четыре заключения.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4. Заключение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отчетном периоде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района, в полном объеме обеспечила выполнение контрольных и экспертно-аналитических мероприятий, предусмотренных планом работы на 2022 год.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2022 году сформирован и утвержден план работы на 2023 год. Поручений от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Алтайского края и Главы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для включения в Плана работы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на 2023 год не направлялись.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течение 2022 года в информационно-коммуникационной сети «Интернет»,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D6235">
        <w:rPr>
          <w:rFonts w:ascii="Times New Roman" w:hAnsi="Times New Roman" w:cs="Times New Roman"/>
          <w:sz w:val="26"/>
          <w:szCs w:val="26"/>
        </w:rPr>
        <w:t xml:space="preserve"> Алтайского края в разделе «Контрольно-счетная палата» размещалась информация о проведенных экспертно-аналитических и контрольных мероприятиях, а также иная информация о работе палаты (планы работ, стандарты, методические рекомендации).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 2023 году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продолжит работу по контролю за планированием и исполнением районного бюджета и сельских поселений </w:t>
      </w:r>
      <w:r w:rsidRPr="00CD623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(в рамках заключенных Соглашений), целевым и эффективным использованием средств районного бюджета и сельских поселений, законностью и эффективностью управления и распоряжения муниципальной собственностью, в том числе эффективностью использования муниципального имущества муниципальными казенными, автономными учреждениями и унитарными предприятиями.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Важнейшими направлениями в деятельности КСП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будут являться экспертизы проектов муниципальных правовых актов, контроль за устранением нарушений и недостатков, выявленных мероприятиями внешнего муниципального финансового контроля и осуществление работы </w:t>
      </w:r>
      <w:proofErr w:type="gramStart"/>
      <w:r w:rsidRPr="00CD6235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CD6235">
        <w:rPr>
          <w:rFonts w:ascii="Times New Roman" w:hAnsi="Times New Roman" w:cs="Times New Roman"/>
          <w:sz w:val="26"/>
          <w:szCs w:val="26"/>
        </w:rPr>
        <w:t xml:space="preserve"> заключенных на 2023 год: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CD6235">
        <w:rPr>
          <w:rFonts w:ascii="Times New Roman" w:hAnsi="Times New Roman" w:cs="Times New Roman"/>
          <w:sz w:val="26"/>
          <w:szCs w:val="26"/>
        </w:rPr>
        <w:t xml:space="preserve">Соглашения о порядке взаимодействия между прокуратурой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CD6235" w:rsidRPr="00CD6235" w:rsidRDefault="00CD6235" w:rsidP="00CD623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- Соглашения о сотрудничестве между Счетной палатой Алтайского края и контрольно-счетной палатой </w:t>
      </w: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</w:p>
    <w:p w:rsidR="00CD6235" w:rsidRPr="00CD6235" w:rsidRDefault="00CD6235" w:rsidP="00CD6235">
      <w:pPr>
        <w:ind w:left="52" w:right="2376" w:firstLine="0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Председатель КСП</w:t>
      </w:r>
    </w:p>
    <w:p w:rsidR="00073A9F" w:rsidRPr="00CD6235" w:rsidRDefault="00CD6235" w:rsidP="00CD6235">
      <w:pPr>
        <w:ind w:left="52" w:right="67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623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D623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CD6235">
        <w:rPr>
          <w:rFonts w:ascii="Times New Roman" w:hAnsi="Times New Roman" w:cs="Times New Roman"/>
          <w:sz w:val="26"/>
          <w:szCs w:val="26"/>
        </w:rPr>
        <w:tab/>
      </w:r>
      <w:r w:rsidRPr="00CD6235">
        <w:rPr>
          <w:rFonts w:ascii="Times New Roman" w:hAnsi="Times New Roman" w:cs="Times New Roman"/>
          <w:sz w:val="26"/>
          <w:szCs w:val="26"/>
        </w:rPr>
        <w:tab/>
      </w:r>
      <w:r w:rsidRPr="00CD6235">
        <w:rPr>
          <w:rFonts w:ascii="Times New Roman" w:hAnsi="Times New Roman" w:cs="Times New Roman"/>
          <w:sz w:val="26"/>
          <w:szCs w:val="26"/>
        </w:rPr>
        <w:tab/>
        <w:t xml:space="preserve">                      А.В. Минина </w:t>
      </w:r>
    </w:p>
    <w:sectPr w:rsidR="00073A9F" w:rsidRPr="00CD6235" w:rsidSect="006075BB">
      <w:footerReference w:type="default" r:id="rId21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A3" w:rsidRDefault="00372C30">
      <w:r>
        <w:separator/>
      </w:r>
    </w:p>
  </w:endnote>
  <w:endnote w:type="continuationSeparator" w:id="0">
    <w:p w:rsidR="000D1AA3" w:rsidRDefault="003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3F600A" w:rsidP="002E71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A3" w:rsidRDefault="00372C30">
      <w:r>
        <w:separator/>
      </w:r>
    </w:p>
  </w:footnote>
  <w:footnote w:type="continuationSeparator" w:id="0">
    <w:p w:rsidR="000D1AA3" w:rsidRDefault="0037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7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FBB07BA"/>
    <w:multiLevelType w:val="hybridMultilevel"/>
    <w:tmpl w:val="305249C4"/>
    <w:lvl w:ilvl="0" w:tplc="5EC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23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05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EB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F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84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45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F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D063D3"/>
    <w:multiLevelType w:val="hybridMultilevel"/>
    <w:tmpl w:val="FC200CF4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7"/>
    <w:rsid w:val="00073A9F"/>
    <w:rsid w:val="000D1AA3"/>
    <w:rsid w:val="0014114D"/>
    <w:rsid w:val="00181A49"/>
    <w:rsid w:val="00372C30"/>
    <w:rsid w:val="00373D9E"/>
    <w:rsid w:val="003F600A"/>
    <w:rsid w:val="007C608E"/>
    <w:rsid w:val="00816E4C"/>
    <w:rsid w:val="009B5AD6"/>
    <w:rsid w:val="009E5EBF"/>
    <w:rsid w:val="00A02B67"/>
    <w:rsid w:val="00AF45C6"/>
    <w:rsid w:val="00BB04FF"/>
    <w:rsid w:val="00C15211"/>
    <w:rsid w:val="00CD6235"/>
    <w:rsid w:val="00D66A0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22D"/>
  <w15:chartTrackingRefBased/>
  <w15:docId w15:val="{7174ED26-C171-4550-955B-FA8F68E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A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73A9F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73A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73A9F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73A9F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073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A9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073A9F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073A9F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73A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073A9F"/>
    <w:pPr>
      <w:spacing w:after="0" w:line="240" w:lineRule="auto"/>
    </w:pPr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6A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2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D623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7</cp:revision>
  <cp:lastPrinted>2023-04-12T02:06:00Z</cp:lastPrinted>
  <dcterms:created xsi:type="dcterms:W3CDTF">2023-03-31T05:13:00Z</dcterms:created>
  <dcterms:modified xsi:type="dcterms:W3CDTF">2023-04-12T02:07:00Z</dcterms:modified>
</cp:coreProperties>
</file>