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95" w:rsidRPr="00367295" w:rsidRDefault="00367295" w:rsidP="00367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DA0585" wp14:editId="1912A6DF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95" w:rsidRPr="009242D5" w:rsidRDefault="009242D5" w:rsidP="00367295">
      <w:pPr>
        <w:numPr>
          <w:ilvl w:val="1"/>
          <w:numId w:val="0"/>
        </w:numPr>
        <w:spacing w:line="240" w:lineRule="auto"/>
        <w:rPr>
          <w:rFonts w:eastAsiaTheme="minorEastAsia"/>
          <w:b/>
          <w:color w:val="5A5A5A" w:themeColor="text1" w:themeTint="A5"/>
          <w:spacing w:val="15"/>
          <w:sz w:val="36"/>
          <w:szCs w:val="36"/>
          <w:lang w:eastAsia="ar-SA"/>
        </w:rPr>
      </w:pPr>
      <w:bookmarkStart w:id="0" w:name="_GoBack"/>
      <w:r w:rsidRPr="009242D5">
        <w:rPr>
          <w:rFonts w:eastAsiaTheme="minorEastAsia"/>
          <w:b/>
          <w:color w:val="5A5A5A" w:themeColor="text1" w:themeTint="A5"/>
          <w:spacing w:val="15"/>
          <w:sz w:val="36"/>
          <w:szCs w:val="36"/>
          <w:lang w:eastAsia="ar-SA"/>
        </w:rPr>
        <w:t>Проект</w:t>
      </w:r>
    </w:p>
    <w:bookmarkEnd w:id="0"/>
    <w:p w:rsidR="00367295" w:rsidRPr="00367295" w:rsidRDefault="00367295" w:rsidP="00367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367295" w:rsidRDefault="00367295" w:rsidP="00367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367295" w:rsidRPr="00367295" w:rsidRDefault="00367295" w:rsidP="00367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367295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АДМИНИСТРАЦИЯ ЗАРИНСКОГО РАЙОНА </w:t>
      </w:r>
    </w:p>
    <w:p w:rsidR="00367295" w:rsidRPr="00367295" w:rsidRDefault="00367295" w:rsidP="00367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367295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АЛТАЙСКОГО КРАЯ</w:t>
      </w:r>
    </w:p>
    <w:p w:rsidR="00367295" w:rsidRPr="00367295" w:rsidRDefault="00367295" w:rsidP="0036729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367295">
        <w:rPr>
          <w:rFonts w:ascii="Arial" w:eastAsia="Times New Roman" w:hAnsi="Arial" w:cs="Times New Roman"/>
          <w:b/>
          <w:sz w:val="36"/>
          <w:szCs w:val="20"/>
          <w:lang w:eastAsia="ru-RU"/>
        </w:rPr>
        <w:t xml:space="preserve"> </w:t>
      </w:r>
    </w:p>
    <w:p w:rsidR="00367295" w:rsidRPr="00367295" w:rsidRDefault="00367295" w:rsidP="0036729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367295">
        <w:rPr>
          <w:rFonts w:ascii="Arial" w:eastAsia="Times New Roman" w:hAnsi="Arial" w:cs="Times New Roman"/>
          <w:b/>
          <w:sz w:val="36"/>
          <w:szCs w:val="20"/>
          <w:lang w:eastAsia="ru-RU"/>
        </w:rPr>
        <w:t>П О С Т А Н О В Л Е Н И Е</w:t>
      </w: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367295" w:rsidRPr="00367295" w:rsidTr="00050A9C">
        <w:tc>
          <w:tcPr>
            <w:tcW w:w="4785" w:type="dxa"/>
            <w:shd w:val="clear" w:color="auto" w:fill="auto"/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367295" w:rsidRPr="00367295" w:rsidRDefault="00367295" w:rsidP="0036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_________</w:t>
            </w:r>
          </w:p>
        </w:tc>
      </w:tr>
      <w:tr w:rsidR="00367295" w:rsidRPr="00367295" w:rsidTr="00050A9C">
        <w:tc>
          <w:tcPr>
            <w:tcW w:w="9571" w:type="dxa"/>
            <w:gridSpan w:val="2"/>
            <w:shd w:val="clear" w:color="auto" w:fill="auto"/>
          </w:tcPr>
          <w:p w:rsidR="00367295" w:rsidRPr="00367295" w:rsidRDefault="00367295" w:rsidP="0036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г.Заринск</w:t>
            </w:r>
          </w:p>
        </w:tc>
      </w:tr>
    </w:tbl>
    <w:p w:rsidR="00367295" w:rsidRPr="00367295" w:rsidRDefault="00367295" w:rsidP="0036729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367295" w:rsidRPr="00367295" w:rsidTr="00050A9C">
        <w:tc>
          <w:tcPr>
            <w:tcW w:w="4500" w:type="dxa"/>
          </w:tcPr>
          <w:p w:rsidR="00367295" w:rsidRPr="00367295" w:rsidRDefault="00367295" w:rsidP="00A9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муниципальной программы «</w:t>
            </w:r>
            <w:r w:rsidR="00A90267" w:rsidRPr="00A90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 развитие системы коммунальной инфраструктуры</w:t>
            </w:r>
            <w:r w:rsidR="00A90267"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(система водоснабжения)</w:t>
            </w:r>
            <w:r w:rsidR="00A90267" w:rsidRPr="00A90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0267"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Заринский район </w:t>
            </w:r>
            <w:r w:rsidR="00A90267" w:rsidRPr="00A90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Алтайского края» на 2022-2025 годы</w:t>
            </w:r>
            <w:r w:rsidR="00A90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90267"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67295" w:rsidRPr="00367295" w:rsidRDefault="00367295" w:rsidP="00367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295" w:rsidRPr="00367295" w:rsidRDefault="00367295" w:rsidP="00367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295" w:rsidRPr="00367295" w:rsidRDefault="00367295" w:rsidP="00367295">
      <w:pPr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В соответствии с </w:t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29.12.2004 № 188-ФЗ «Жилищный кодекс Российской Федерации»,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РФ»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муниципального образования Заринский</w:t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район, постановлением Администрации Заринского района от 23.07.2014 № 575 «Об утверждении порядка разработки и реализации муниципальных программ Заринского района»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Заринского района</w:t>
      </w:r>
    </w:p>
    <w:p w:rsidR="00367295" w:rsidRPr="00367295" w:rsidRDefault="00367295" w:rsidP="00367295">
      <w:pPr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муниципальную программу «</w:t>
      </w:r>
      <w:r w:rsidR="00DF6BA2" w:rsidRPr="00DF6B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развитие системы коммунальной инфраструктуры</w:t>
      </w:r>
      <w:r w:rsidR="00DF6BA2"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(система водоснабжения)</w:t>
      </w:r>
      <w:r w:rsidR="00DF6BA2" w:rsidRPr="00DF6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BA2"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Заринский район </w:t>
      </w:r>
      <w:r w:rsidR="00DF6BA2" w:rsidRPr="00DF6BA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края» на 2022-2025 годы</w:t>
      </w:r>
      <w:r w:rsidR="00DF6BA2"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Данное постановление обнародовать на официальном сайте Администрации Заринского района.</w:t>
      </w: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выполнением постановления оставляю за собой.</w:t>
      </w: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367295" w:rsidRPr="00367295" w:rsidTr="00050A9C">
        <w:tc>
          <w:tcPr>
            <w:tcW w:w="4785" w:type="dxa"/>
            <w:shd w:val="clear" w:color="auto" w:fill="auto"/>
          </w:tcPr>
          <w:p w:rsidR="00367295" w:rsidRP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района </w:t>
            </w:r>
          </w:p>
        </w:tc>
        <w:tc>
          <w:tcPr>
            <w:tcW w:w="4786" w:type="dxa"/>
            <w:shd w:val="clear" w:color="auto" w:fill="auto"/>
          </w:tcPr>
          <w:p w:rsidR="00367295" w:rsidRPr="00367295" w:rsidRDefault="00367295" w:rsidP="0036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В.К. Тимирязев</w:t>
            </w:r>
          </w:p>
        </w:tc>
      </w:tr>
    </w:tbl>
    <w:p w:rsidR="00367295" w:rsidRPr="00367295" w:rsidRDefault="00367295" w:rsidP="00367295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 w:type="page"/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к постановлению</w:t>
      </w:r>
    </w:p>
    <w:p w:rsidR="00367295" w:rsidRPr="00367295" w:rsidRDefault="00367295" w:rsidP="00367295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района</w:t>
      </w:r>
    </w:p>
    <w:p w:rsidR="00367295" w:rsidRPr="00367295" w:rsidRDefault="00367295" w:rsidP="00367295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 № _______</w:t>
      </w:r>
    </w:p>
    <w:p w:rsidR="00367295" w:rsidRPr="00367295" w:rsidRDefault="00367295" w:rsidP="00367295">
      <w:pPr>
        <w:spacing w:after="0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7295" w:rsidRPr="00367295" w:rsidRDefault="00367295" w:rsidP="00367295">
      <w:pPr>
        <w:spacing w:after="0" w:line="240" w:lineRule="auto"/>
        <w:ind w:left="1260" w:hanging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МУНИЦИПАЛЬНАЯ ПРОГРАММА</w:t>
      </w:r>
    </w:p>
    <w:p w:rsidR="00367295" w:rsidRPr="00367295" w:rsidRDefault="00367295" w:rsidP="003672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672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Комплексное развитие системы коммунальной инфраструктуры (система водоснабжения)</w:t>
      </w:r>
      <w:r w:rsidR="00A90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Заринский район Алтайского края» на 2022-2025 годы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67295" w:rsidRPr="00367295" w:rsidRDefault="00367295" w:rsidP="00367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ПАСПОРТ ПРОГРАММЫ</w:t>
      </w:r>
    </w:p>
    <w:p w:rsidR="00367295" w:rsidRPr="00367295" w:rsidRDefault="00367295" w:rsidP="00367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42"/>
        <w:gridCol w:w="6044"/>
      </w:tblGrid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tabs>
                <w:tab w:val="left" w:pos="30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Заринского района Алтайского края</w:t>
            </w:r>
          </w:p>
        </w:tc>
      </w:tr>
      <w:tr w:rsidR="00367295" w:rsidRPr="00367295" w:rsidTr="00050A9C">
        <w:trPr>
          <w:trHeight w:val="18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строительства и жилищно-коммунального хозяйства Администрации Заринского района.</w:t>
            </w:r>
          </w:p>
          <w:p w:rsidR="00367295" w:rsidRDefault="00367295" w:rsidP="00367295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управлению имуществом и земельным отношениям Администрации Заринского района.</w:t>
            </w:r>
          </w:p>
          <w:p w:rsidR="00367295" w:rsidRPr="00367295" w:rsidRDefault="00367295" w:rsidP="00367295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 «Водоснабжение»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строительства и жилищно-коммунального хозяйства Администрации Заринского района.</w:t>
            </w:r>
          </w:p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управлению имуществом и земельным отношениям Администрации Заринского района.</w:t>
            </w:r>
          </w:p>
          <w:p w:rsidR="00367295" w:rsidRPr="00367295" w:rsidRDefault="00367295" w:rsidP="00367295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 «Водоснабжение»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367295" w:rsidRPr="00367295" w:rsidTr="00050A9C">
        <w:trPr>
          <w:trHeight w:val="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Цель – </w:t>
            </w:r>
            <w:r w:rsidRPr="0036729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потребности населения, предприятий и организаций Заринского района качественными услугами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водоснабжения</w:t>
            </w:r>
          </w:p>
        </w:tc>
      </w:tr>
      <w:tr w:rsidR="00367295" w:rsidRPr="00367295" w:rsidTr="00050A9C">
        <w:trPr>
          <w:trHeight w:val="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Default="00367295" w:rsidP="0036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1. Техническое перевооружение и модернизация водозаборных узлов систем центрального водоснабжения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67295" w:rsidRDefault="00367295" w:rsidP="0036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295">
              <w:rPr>
                <w:rFonts w:ascii="Times New Roman" w:hAnsi="Times New Roman" w:cs="Times New Roman"/>
                <w:sz w:val="26"/>
                <w:szCs w:val="26"/>
              </w:rPr>
              <w:t>2. Капитальный ремонт водопроводных сетей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7295" w:rsidRDefault="00367295" w:rsidP="0036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295">
              <w:rPr>
                <w:rFonts w:ascii="Times New Roman" w:hAnsi="Times New Roman" w:cs="Times New Roman"/>
                <w:sz w:val="26"/>
                <w:szCs w:val="26"/>
              </w:rPr>
              <w:t>3. Планирование и разработка организационных мероприятий.</w:t>
            </w:r>
          </w:p>
          <w:p w:rsidR="00367295" w:rsidRPr="00367295" w:rsidRDefault="00367295" w:rsidP="0036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hAnsi="Times New Roman" w:cs="Times New Roman"/>
                <w:sz w:val="26"/>
                <w:szCs w:val="26"/>
              </w:rPr>
              <w:t>4. Ликвидация и предотвращение аварийных ситуаций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и  показатели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Default="00A90267" w:rsidP="00367295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Количество аварий на объектах систем водоснабжения.</w:t>
            </w:r>
          </w:p>
          <w:p w:rsidR="00A90267" w:rsidRDefault="00A90267" w:rsidP="00367295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Снижение степени износа основных фондов водозаборных узлов.</w:t>
            </w:r>
          </w:p>
          <w:p w:rsidR="00A90267" w:rsidRDefault="00A90267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Увеличение протяженности капитально отремонтированных сетей холодного водоснабжения.</w:t>
            </w:r>
          </w:p>
          <w:p w:rsidR="00A90267" w:rsidRPr="00367295" w:rsidRDefault="00A90267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 Доля проб питьевой воды, соответствующей требованиям к качеству в общем объеме проб качества питьевой воды.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– 2025 годы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</w:t>
            </w:r>
            <w:r w:rsidR="00A90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32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сирования программы составит 177</w:t>
            </w:r>
            <w:r w:rsidR="00A90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рублей. Из них:</w:t>
            </w:r>
          </w:p>
          <w:p w:rsidR="00367295" w:rsidRDefault="00367295" w:rsidP="00367295">
            <w:pPr>
              <w:numPr>
                <w:ilvl w:val="0"/>
                <w:numId w:val="1"/>
              </w:num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муниципального образования Заринский район – </w:t>
            </w:r>
            <w:r w:rsidR="0032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1416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тыс.руб.</w:t>
            </w:r>
          </w:p>
          <w:p w:rsidR="00A90267" w:rsidRPr="00367295" w:rsidRDefault="00A90267" w:rsidP="00367295">
            <w:pPr>
              <w:numPr>
                <w:ilvl w:val="0"/>
                <w:numId w:val="1"/>
              </w:num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</w:t>
            </w:r>
            <w:r w:rsidR="0032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едства МУП «Водоснабжения» - 360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руб.</w:t>
            </w:r>
          </w:p>
          <w:p w:rsidR="00367295" w:rsidRPr="00367295" w:rsidRDefault="00322A9C" w:rsidP="00367295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2022 году – 444</w:t>
            </w:r>
            <w:r w:rsidR="00367295"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рублей,</w:t>
            </w:r>
          </w:p>
          <w:p w:rsidR="00367295" w:rsidRPr="00367295" w:rsidRDefault="00322A9C" w:rsidP="00367295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444</w:t>
            </w:r>
            <w:r w:rsidR="00367295"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рублей,</w:t>
            </w:r>
          </w:p>
          <w:p w:rsidR="00367295" w:rsidRPr="00367295" w:rsidRDefault="00322A9C" w:rsidP="00367295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444</w:t>
            </w:r>
            <w:r w:rsidR="00367295"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рублей,</w:t>
            </w:r>
          </w:p>
          <w:p w:rsidR="00367295" w:rsidRPr="00367295" w:rsidRDefault="00367295" w:rsidP="00367295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 г</w:t>
            </w:r>
            <w:r w:rsidR="0032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оду – 444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рублей.</w:t>
            </w:r>
          </w:p>
          <w:p w:rsidR="00367295" w:rsidRP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подлежит ежегодному уточнению в соответствии с решением Заринского районного Совета народных депутатов Алтайского края о  бюджете муниципального образования на очередной финансовый год.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результаты реализации муниципальной программы.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67" w:rsidRDefault="00367295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r w:rsidR="00A90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Количество аварий на объектах систем водоснабжения.</w:t>
            </w:r>
          </w:p>
          <w:p w:rsidR="00A90267" w:rsidRDefault="00A90267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Снижение степени износа основных фондов водозаборных узлов.</w:t>
            </w:r>
          </w:p>
          <w:p w:rsidR="00A90267" w:rsidRDefault="00A90267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Увеличение протяженности капитально отремонтированных сетей холодного водоснабжения.</w:t>
            </w:r>
          </w:p>
          <w:p w:rsidR="00A90267" w:rsidRPr="00367295" w:rsidRDefault="00A90267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Доля проб питьевой воды, соответствующей требованиям к качеству в общем объеме проб качества питьевой воды.</w:t>
            </w:r>
          </w:p>
          <w:p w:rsidR="00367295" w:rsidRPr="00367295" w:rsidRDefault="00367295" w:rsidP="00367295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7295" w:rsidRPr="00367295" w:rsidRDefault="00367295" w:rsidP="00367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Default="00584978"/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Характеристика проблемы и 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необходимости ее решения программными методами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проблемой в сфере ЖКХ большой износ основных фондов. Решение данной проблемы долгое время носило бессистемный характер и не приводило к каким-либо значительным результатам. Сохранение здоровья населения и создание условий для дальнейшей жизнедеятельности и повышения уровня и качества жизни населения района является важнейшей задачей Администрации Заринского района. Для достижения этих целей необходимо решить комплекс задач по обеспечению соответствия санитарно-гигиеническим требованиям источников водоснабжения, по повышению эффективности и надежности функционирования существующих систем водоснабжения за счет реализации технических, санитарных мероприятий. 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сегодняшний день не менее значительной проблемой района является низкая эффективность и высокие затраты в сфере жилищно-коммунального хозяйства. Содержание этой системы в ее нынешнем виде непосильно ни для потребителей жилищно-коммунальных услуг (как для населения, так и для объектов бюджетной сферы), ни для самих организаций жилищно-коммунального комплекса. 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 процент износа основных фондов предприятий и организаций жилищно-коммунального хозяйства (ЖКХ) продолжает увеличиваться и, соответственно, снижает надежность и устойчивость систем инженерного оборудования. В течение последних лет практически не обновляется основное технологическое оборудование предприятий. Так до настоящего времени не созданы реальный механизм стимулирования ресурсосбережения и механизм привлечения внешних и внутренних инвестиции в данную отрасль, которые могли бы обеспечить своевременное выполнение капитального ремонта оборудования, что в свою очередь предотвратило бы дальнейшее снижение надежности работы коммунальной системы, низкую эффективность работы предприятий, большие потери энергии, воды и других ресурсов.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вышеизложенных проблем необходим программно-целевой метод, в котором будут отражены согласованность и координация действий органов местного самоуправления, предприятий, организаций, а также индивидуальных предпринимателей без образования юридического лица, действующих в сфере жилищно-коммунального хозяйства и населения Заринского района, и, который позволит направить финансовые ресурсы в приоритетных направлениях сферы жилищно-коммунального хозяйства (ЖКХ).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Протяженность водопроводных сетей района составляет 312,68 км (в данный период времени только сеть холодного водоснабжения ст.Голуха находится в концессии МУП «ЖКХ «Голухинское» - 19,4 км) общее число водозаборных узлов (скважин и башен) - 91. Износ оборудования водозаборных узлов составляет 75%, износ сетей – 80%. В текущем 2022 году планируется передача объектов на праве оперативное управления во вновь созданный МУП «Водоснабжение».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Ежегодно, из-за повреждений и по причине износа, на водопроводных сетях происходит по меньшей мере порядка 150 аварий, на устранение которых расходуется порядка 1,5 млн. рублей в год, утечка и неучтенный расход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ды составляет около 8,0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год.</w:t>
      </w:r>
    </w:p>
    <w:p w:rsidR="000A16C9" w:rsidRDefault="000A16C9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составлена в соответствии с законодательством Российской Федерации и Алтайского края:</w:t>
      </w:r>
    </w:p>
    <w:p w:rsidR="000A16C9" w:rsidRDefault="000A16C9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07.12.2011 №416-ФЗ «О водоснабжении и водоотведении»;</w:t>
      </w:r>
    </w:p>
    <w:p w:rsidR="000A16C9" w:rsidRDefault="000A16C9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Федерации;</w:t>
      </w:r>
    </w:p>
    <w:p w:rsidR="000A16C9" w:rsidRDefault="000A16C9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Алтайского края от 08.12.20</w:t>
      </w:r>
      <w:r w:rsidR="009242D5">
        <w:rPr>
          <w:rFonts w:ascii="Times New Roman" w:eastAsia="Times New Roman" w:hAnsi="Times New Roman" w:cs="Times New Roman"/>
          <w:sz w:val="26"/>
          <w:szCs w:val="26"/>
          <w:lang w:eastAsia="ru-RU"/>
        </w:rPr>
        <w:t>03 № 74-ЗС «О питьевом водоснабжении»;</w:t>
      </w:r>
    </w:p>
    <w:p w:rsidR="009242D5" w:rsidRDefault="009242D5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Главного государственного санитарного врача РФ от 28.01.2021 №2 «Об утверждении санитарных правил и норм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242D5" w:rsidRDefault="009242D5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2D5" w:rsidRPr="00584978" w:rsidRDefault="009242D5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Цели и задачи программы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– обеспечение потребности населения, предприятий и организаций Заринского района качественными услугами водоснабжения.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цели программы возможно путём решения следующих задач: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 Техническое перевооружение и модернизация водозаборных узлов систем центрального водоснабжения: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бурение новых скважин;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замена изношенных водонапорных башен;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устройство теплоизоляции водонапорных башен; 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установка современного и качественного электрооборудования на водозаборных узлах;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установка многоступенчатой системы фильтрации, станций обезжелезивания;</w:t>
      </w:r>
    </w:p>
    <w:p w:rsid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промывка и обеззараживание</w:t>
      </w:r>
      <w:r w:rsidR="0032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резервуаров водонапорных башен;</w:t>
      </w:r>
    </w:p>
    <w:p w:rsidR="00584978" w:rsidRPr="00584978" w:rsidRDefault="00322A9C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устройство защитных санитарных зон.</w:t>
      </w:r>
      <w:r w:rsidR="00584978"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Капитальный ремонт водопроводных сетей: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замена устаревших водопроводный сетей из металла и чугуна на современные полипропиленовые;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устранение самовольных подключений к сетям центрального водопровода;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замена запорной аппаратуры;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устройство новых,</w:t>
      </w: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профилактические чистки и ремонты действующих колодцев;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профилактические осмотры технического состояния центральных водопроводов.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Планирование и разработка организационных мероприятий: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составление и утверждение двухгодичных планов по техническому перевооружению и капитальным ремонтам;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разработка инженерных изысканий и проектно-сметной документации на проведение работ;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составление реальных схем прокладки центрального водопровода;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проведение подключения новых потребителей в соответствии с техническими нормами и только ресурсоснабжающей организацией МУП «Водоснабжение» либо под их непосредственным контролем.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Ликвидация и предотвращение аварийных ситуаций:</w:t>
      </w:r>
    </w:p>
    <w:p w:rsid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ликвидация и предотвращение аварийных ситуаций на водозаборных узлах;</w:t>
      </w:r>
    </w:p>
    <w:p w:rsid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ликвидация и предотвращение аварийных ситуаций на сетях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</w:t>
      </w:r>
      <w:proofErr w:type="spellEnd"/>
      <w:r w:rsidR="00407921" w:rsidRPr="00407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поддержки местных инициатив и Краевых адресных инвестиционных проектов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водоснабжения.</w:t>
      </w:r>
    </w:p>
    <w:p w:rsid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2D5" w:rsidRDefault="009242D5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2D5" w:rsidRDefault="009242D5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2D5" w:rsidRDefault="009242D5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2D5" w:rsidRDefault="009242D5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2D5" w:rsidRDefault="009242D5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4978" w:rsidRP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Программные мероприятия</w:t>
      </w:r>
    </w:p>
    <w:p w:rsidR="00584978" w:rsidRP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программных мероприятий предусматривает следующие основные направле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ния:</w:t>
      </w:r>
    </w:p>
    <w:p w:rsidR="00553C47" w:rsidRPr="00584978" w:rsidRDefault="00553C47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 </w:t>
      </w: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Техническое перевооружение и модернизация водозаборных узлов систем центрального водоснабжения:</w:t>
      </w:r>
    </w:p>
    <w:p w:rsidR="003C7122" w:rsidRDefault="00584978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1.1.1. Бурение новых скважин. Бурение новых скважин будет производится в рамках Проектов </w:t>
      </w:r>
      <w:r w:rsidR="003C71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местных инициатив и Краевых адресных инвестиционных проектов, с целью бесперебойной подачи питьевой воды, отвечающей всем требованиям качества.</w:t>
      </w:r>
    </w:p>
    <w:p w:rsidR="003C7122" w:rsidRDefault="003C7122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1.1.2. Замена изношенных водонапорных башен. Установка новых водонапорных башен будет производится в рамках Проектов поддержки местных инициатив и Краевых адресных инвестиционных проектов, с целью бесперебойной подачи питьевой воды, отвечающей всем требованиям качества.</w:t>
      </w:r>
    </w:p>
    <w:p w:rsidR="00584978" w:rsidRDefault="003C7122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1.1.3. Устройство теплоизоляции водонапорных башен. Каждый зимний период возникают ситуации с прекращением подачи воды в связи с промерзанием водонапорных башен. Устройство теплоизоляции и (или) дополнительного сброса воды, в связи с ее небольшим разбором в небольших населенных пунктах </w:t>
      </w:r>
      <w:r w:rsidR="00F5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застаиванием в резервуарах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позволит предотвратить угрозу возникновения аварийной ситуации и прекращение подачи воды.</w:t>
      </w:r>
    </w:p>
    <w:p w:rsidR="00F82B90" w:rsidRDefault="003C7122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1.1.4. Установка современного и качественного электрооборудования</w:t>
      </w:r>
      <w:r w:rsidR="00F8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водозаборных узлах. В настоящее время на большинстве водозаборных узлов установлено морально и физически устаревшее электрооборудование, которое не выдерживает перепадов напряжения и повышенных нагрузок, в результате чего выходят из строя глубинные насосы. Стоимость работ по замене глубинных насосов плюс приобретение нового насоса обходится в суммы не сопоставимые с затратами на модернизацию электрооборудования.</w:t>
      </w:r>
    </w:p>
    <w:p w:rsidR="00F82B90" w:rsidRDefault="00F82B90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1.1.5. Установка многоступенчатой фильтрации, станций обезжелезивания. Качество питьевой воды в Заринском районе в большинстве населенных пунктов не соответствует требованиям Сан.Пин.1.2.3685-21, а в некоторых населенных пунктах фиксируется многократное превышение предельно-допустимых норм. Очистка воды позволит обеспечить жителей района качественной услугой водоснабжения.</w:t>
      </w:r>
    </w:p>
    <w:p w:rsidR="00F557D8" w:rsidRDefault="00F557D8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1.1.6. Промывка и обеззараживание резервуаров водонапорных башен.</w:t>
      </w:r>
      <w:r w:rsidRPr="00F5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мероприятие необходимо для улучшения качества питьевой воды в Заринском районе. Очистка воды позволит обеспечить жителей района качественной услугой водоснабжения.</w:t>
      </w:r>
    </w:p>
    <w:p w:rsidR="00322A9C" w:rsidRDefault="00322A9C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1.1.7 Устройство защитных санитарных зон. Устройство защитных зон крайне необходимо для предотвращения попадания в источники водоснабжения опасных для здоровья возбудителей инфекционных заболеваний и посторонних примесей.</w:t>
      </w:r>
    </w:p>
    <w:p w:rsidR="00553C47" w:rsidRDefault="00553C47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7D8" w:rsidRPr="00584978" w:rsidRDefault="00F557D8" w:rsidP="00F55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2.1. </w:t>
      </w: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 водопроводных сетей:</w:t>
      </w:r>
    </w:p>
    <w:p w:rsidR="00F557D8" w:rsidRDefault="00F557D8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2.1.1. Замена устаревших водопроводных сетей из металла и чугуна на современные полипропиленовые. Замена труб будет производится в рамках</w:t>
      </w:r>
      <w:r w:rsidRPr="00F5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поддержки местных инициатив и Краевых адресных инвестиционных проектов, с целью бесперебойной подачи питьевой воды, отвечающей всем требованиям качества. Оставшиеся средства будут использоваться для прокладки новых сетей, в населенных пунктах, где вопрос о возможности использования сетей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холодного водоснабжения стоит наиболее остро.</w:t>
      </w:r>
    </w:p>
    <w:p w:rsidR="00F557D8" w:rsidRDefault="00F557D8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2.1.2 Устранение самовольных подключений к сетям центрального водоснабжения. Не для никого не секрет, что самовольные подключения наносят вред центральным сетям, так подключения производятся «хаотично»</w:t>
      </w:r>
      <w:r w:rsidR="00FB12B7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 соблюдения элементарных технических требований, что ведет не только к износу центральных сетей</w:t>
      </w:r>
      <w:r w:rsidR="00FB12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 но и бесконтрольному использованию воды.</w:t>
      </w:r>
    </w:p>
    <w:p w:rsidR="00FB12B7" w:rsidRDefault="00FB12B7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2.1.3. Замена запорной аппаратуры. На действующих сетях холодного водоснабжения практически отсутствует действующая запорная аппаратура, что не позволяет при проведении текущих и (или) аварийных работах производить отключение подачи воды на определенном участке, отключение производится по всему населенному пункту, что не позволяет предоставлять услугу водоснабжения в полном объеме жителям района.</w:t>
      </w:r>
    </w:p>
    <w:p w:rsidR="00553C47" w:rsidRDefault="00FB12B7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2.1.4. Устройство новых, профилактические чистки и ремонты действующих колодцев.</w:t>
      </w:r>
      <w:r w:rsidR="0055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мероприятие позволит своевременно и качественно производить ремонтные работы.</w:t>
      </w:r>
    </w:p>
    <w:p w:rsidR="00553C47" w:rsidRDefault="00553C47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2.1.5. Профилактические осмотры технического состояния центральных водопроводов.  Данное мероприятие позволять правильно планировать и разрабатывать мероприятия по текущему и капитальному ремонту. </w:t>
      </w:r>
    </w:p>
    <w:p w:rsidR="00FB12B7" w:rsidRDefault="00553C47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3C47" w:rsidRDefault="00553C47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3.1. </w:t>
      </w: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и разработка организационных мероприятий:</w:t>
      </w:r>
    </w:p>
    <w:p w:rsidR="003C7122" w:rsidRDefault="00F82B90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3.1.1. Составление и утверждение двухгодичных планов по техническому перевооружению и капитальным ремонтам. Составления и утверждение двухгодичных планов дает возможность целевого использования выделяемых средств для решения задач по предоставлению услуги водоснабжения</w:t>
      </w:r>
      <w:r w:rsidR="001D4E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4EEE" w:rsidRDefault="001D4EEE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3.1.2. Составление и разработка инженерных изысканий и проекто-сметной документации на проведение работ. Наличие данной документации в соответствии с планами работ позволит </w:t>
      </w:r>
      <w:r w:rsidR="00DD5522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 учас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твовать в</w:t>
      </w:r>
      <w:r w:rsidR="00DD5522" w:rsidRPr="00DD5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5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Проектах поддержки местных инициатив и Краевых адресных инвестиционных проектах, что существенно снизит нагрузку на местный бюджет, в идеале позволит провести дополнительные работы.</w:t>
      </w:r>
    </w:p>
    <w:p w:rsidR="00DD5522" w:rsidRPr="00584978" w:rsidRDefault="00DD5522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584978" w:rsidRDefault="00DD5522" w:rsidP="00DD552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3.1.3. Составление реальных схем прокладки центрального водопровода. Имеющиеся на сегодняшний день схемы сетей холодного водоснабжения населенных пунктов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датировны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1998 - 2003 годами, и зачастую не соответствуют действительности. Актуализация схем, внесение в них новых данных о прокладке сетей, подключениях, обустройстве колодцев и т.д. существенно ускорит любые мероприятия на сетях центрального водоснабжения.</w:t>
      </w:r>
    </w:p>
    <w:p w:rsidR="00DD5522" w:rsidRDefault="00DD5522" w:rsidP="00DD552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3.1.4. Проведение подключения новых потребителей в соответствии с техническими нормами и только ресурсоснабжающей организацией МУП «Водоснабжение» либо под её непосредственным контролем. При проведении работ по подключению новых потребителей </w:t>
      </w:r>
      <w:r w:rsidR="0040792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будет наноситься вред центральным сетям неумелыми действиями, своевременно будут актуализироваться схемы сетей, что снизит риск возникновения аварийных ситуаций на сетях центрального водоснабжения.</w:t>
      </w:r>
    </w:p>
    <w:p w:rsidR="00407921" w:rsidRDefault="00407921" w:rsidP="00DD552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921" w:rsidRDefault="00407921" w:rsidP="00407921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</w:t>
      </w:r>
      <w:r w:rsidRPr="00407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Ликвидация и предотвращение аварийных ситуаций:</w:t>
      </w:r>
    </w:p>
    <w:p w:rsidR="00407921" w:rsidRDefault="00407921" w:rsidP="00DD552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4.1.1 Ликвидация и предотвращение аварийных ситуаций на водозаборных узлах.</w:t>
      </w:r>
    </w:p>
    <w:p w:rsidR="00407921" w:rsidRDefault="00407921" w:rsidP="00407921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4.1.2. Ликвидация и предотвращение аварийных ситуаций на сетях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холодного водоснабжения </w:t>
      </w:r>
    </w:p>
    <w:p w:rsidR="00407921" w:rsidRDefault="00407921" w:rsidP="00DD552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Средства, закладываемые в бюджет на выполнение данных мероприятий</w:t>
      </w:r>
      <w:r w:rsid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МУП «Водоснабжение» целесообразно использовать на поддержание в </w:t>
      </w:r>
      <w:r w:rsid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состоянии постоянной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аварийной службы, а средства местного бюджета на приобретение комплектующих и оплату спецтехники.</w:t>
      </w:r>
    </w:p>
    <w:p w:rsidR="006536A4" w:rsidRDefault="006536A4" w:rsidP="00DD552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Перечень основных мероприятий муниципальной программы приведен в Приложении №2</w:t>
      </w: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5. Общий объем финансовых ресурсов, необходимых для реализации</w:t>
      </w:r>
    </w:p>
    <w:p w:rsidR="006536A4" w:rsidRPr="006536A4" w:rsidRDefault="006536A4" w:rsidP="006536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муниципальной программы</w:t>
      </w: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планировании ресурсного обеспечения муниципальной программы учитывались реальная ситуация в финансово-бюджетной сфере района, состояние аварийности, значимость проблемы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обеспечения водоснабжением жителей района, </w:t>
      </w: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а также реальная возможность ее решения программно-целевыми методами.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Финансирование мероприятий муниципальной программы будет осуществляться за счет средств бюджета муниципального образования Заринский район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средств МУП «Водоснабжения» и краевого бюджета</w:t>
      </w: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Объем финансирования носит прогнозный характер и подлежит ежегодному уточнению в установленном порядке при формировании проекта бюджета на очередной финансовый год и плановый период исходя из реальных возможностей. 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В зависимости от изменения объемов финансирования подлежат уточнению показатели и индикаторы эффективности муниципальной программы.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 реализации программных мероприятий могут быть привлечены внебюджетные источники. Это могут быть взносы предприятий и организаций различных форм собственности. Целевые отчисления от прибыли предприятий, заинтересованных в осуществлении муниципальной программы, средства фондов и общественных организаций, заинтересованных в реализации программных мероприятий, другие поступления.</w:t>
      </w:r>
    </w:p>
    <w:p w:rsidR="006536A4" w:rsidRDefault="006536A4" w:rsidP="006536A4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Общий объем финансирования реализации програм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мных мероприятий всего составляет 17560</w:t>
      </w: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,0 тыс. рублей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из них </w:t>
      </w: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за счёт средств бюджетов муниципального образования Заринский район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 14040,0 тыс. рублей., из средств МУП «Водоснабжение» - 3520,0 тыс. рублей.</w:t>
      </w:r>
    </w:p>
    <w:p w:rsidR="006536A4" w:rsidRPr="006536A4" w:rsidRDefault="006536A4" w:rsidP="006536A4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Объем финансовых ресурсов, необходимых для реализации муниципальной программы представлен в Приложении №3.</w:t>
      </w:r>
    </w:p>
    <w:p w:rsidR="006536A4" w:rsidRPr="006536A4" w:rsidRDefault="006536A4" w:rsidP="0065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6. Анализ рисков реализации муниципальной программы и описание мер управления рисками реализации муниципальной программы.</w:t>
      </w: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К рискам реализации муниципальной программы, которыми могут управлять ответственный исполнитель, соисполнители и участники программы, уменьшая вероятность их возникновения, следует отнести следующие:</w:t>
      </w:r>
    </w:p>
    <w:p w:rsidR="006536A4" w:rsidRPr="006536A4" w:rsidRDefault="006536A4" w:rsidP="0065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1. Институционально-правовые риски, связанные с отсутствием законодательного регулирования основных направлений муниципальной программы и (или) недостаточно быстрым осуществлением институциональных преобразований, предусмотренных муниципальной программой.</w:t>
      </w:r>
    </w:p>
    <w:p w:rsidR="006536A4" w:rsidRPr="006536A4" w:rsidRDefault="006536A4" w:rsidP="0065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     2. Организационные риски, связанные с ошибками управления реализацией муниципальной программы, в том числе отдельных её исполнителей, неготовностью организационной инфраструктуры к решению задач, поставленных муниципальной программой, что может привести к нецелевому или неэффективному использованию бюджетных средств, невыполнению ряда мероприятий муниципальной программы или задержки их исполнения.</w:t>
      </w:r>
    </w:p>
    <w:p w:rsidR="006536A4" w:rsidRPr="006536A4" w:rsidRDefault="006536A4" w:rsidP="0065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3. Финансовые риски, которые связаны с финансированием муниципальной программы в неполном объеме за счет бюджетных средств. Данный риск может возникнуть вследствие несвоевременного и (или) неполного поступления бюджетных средств.</w:t>
      </w:r>
    </w:p>
    <w:p w:rsidR="006536A4" w:rsidRPr="006536A4" w:rsidRDefault="006536A4" w:rsidP="0065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4. Непредвиденные риски, связанные с кризисными явлениями в сфере экономики, природными и техногенными катастрофами, стихийными бедствиями, что может привести к снижению бюджетных доходов и потребовать отмены или переноса мероприятий муниципальной программы на неопределенный срок.</w:t>
      </w: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Методика оценки эффективности муниципальной программы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степени достижения целей и решения задач муниципальной программы;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 реализации мероприятий муниципальной программы.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(1/m) *  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E5"/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=1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Cel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степени достижения цели, решения задачи муниципальной программы (подпрограммы);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значения i-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m – число показателей, характеризующих степень достижения цели, решения задачи муниципальной программы (подпрограммы);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E5"/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сумма значений.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Оценка значения i-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индикатора (показателя) муниципальной программы (подпрограммы) производится по формуле: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proofErr w:type="gramEnd"/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>100%,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где: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F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фактическое значение i-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индикатора (показателя) муниципальной программы;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плановое значение i-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(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F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) *100% (для индикаторов (показателей), желаемой тенденцией развития которых является снижение значений).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случае превышения 100% выполнения расчетного значения показателя значение показателя принимается равным 100%.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>*100%,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Fin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уровень финансирования реализации мероприятий муниципальной программы (подпрограммы);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K – фактический объем финансовых ресурсов, направленный на реализацию мероприятий муниципальной программы (подпрограммы);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=  (1/n) *  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E5"/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*100%),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j=1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Mer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степени реализации мероприятий муниципальной программы (подпрограммы);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R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показатель достижения ожидаемого непосредственного </w:t>
      </w:r>
      <w:proofErr w:type="gram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 j</w:t>
      </w:r>
      <w:proofErr w:type="gram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недостижения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непосредственного результата - как «0»;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n – количество мероприятий, включенных в муниципальную программу (подпрограмму);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E5"/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сумма значений.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= (</w:t>
      </w:r>
      <w:proofErr w:type="spell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Fin + </w:t>
      </w:r>
      <w:proofErr w:type="spell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)/3,</w:t>
      </w:r>
    </w:p>
    <w:p w:rsidR="006536A4" w:rsidRPr="00050A9C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050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O – комплексная оценка.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 Реализация муниципальной программы может характеризоваться: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высоким уровнем эффективности;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средним уровнем эффективности;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низким уровнем эффективности.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6536A4" w:rsidRDefault="006536A4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реализация муниципальной программы не отвечает приведенным выше диапазонам значений, уровень эффективности её реализации приз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нается низкой.</w:t>
      </w: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50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к Муниципальной программе </w:t>
      </w:r>
      <w:r w:rsidRPr="0005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системы коммунальной инфраструктуры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(система водоснабжения) муниципального                                   образования Заринский район </w:t>
      </w:r>
    </w:p>
    <w:p w:rsidR="00050A9C" w:rsidRPr="00050A9C" w:rsidRDefault="00050A9C" w:rsidP="00050A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края» на 2022-2025 годы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050A9C" w:rsidRPr="00050A9C" w:rsidRDefault="00050A9C" w:rsidP="00050A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мероприятий муниципальной программы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Pr="00050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Комплексное развитие системы коммунальной инфраструктуры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(система водоснабжения)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Заринский район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Алтайского края» на 2022-2025 годы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2155"/>
        <w:gridCol w:w="1276"/>
        <w:gridCol w:w="1418"/>
        <w:gridCol w:w="1134"/>
        <w:gridCol w:w="1134"/>
        <w:gridCol w:w="1134"/>
        <w:gridCol w:w="1955"/>
      </w:tblGrid>
      <w:tr w:rsidR="00050A9C" w:rsidRPr="00050A9C" w:rsidTr="00050A9C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тыс.руб.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050A9C" w:rsidRPr="00050A9C" w:rsidTr="00050A9C">
        <w:trPr>
          <w:tblHeader/>
        </w:trPr>
        <w:tc>
          <w:tcPr>
            <w:tcW w:w="675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2155"/>
        <w:gridCol w:w="1276"/>
        <w:gridCol w:w="1418"/>
        <w:gridCol w:w="1134"/>
        <w:gridCol w:w="1134"/>
        <w:gridCol w:w="1134"/>
        <w:gridCol w:w="1955"/>
      </w:tblGrid>
      <w:tr w:rsidR="00050A9C" w:rsidRPr="00050A9C" w:rsidTr="00050A9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на реализацию 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15520,0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потребности населения, предприятий и организаций  Заринского района качественными услугами водоснабжения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2022 - 2025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15520,0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и модернизация водозаборных узлов систем центрального водоснабжения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новых скважин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Администрации Заринского района, администрации сельсоветов Заринского района,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1.1.2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изношенных водонапорных башен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района,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1.1.3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водонапорных башен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1.1.4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современного и качественного электрооборудования на водозаборных узлах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Заринского района, администрации сельсоветов Заринского района,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1.1.5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многоступенчатой фильтрации, станций обезжелезивания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района, МУП «</w:t>
            </w:r>
            <w:proofErr w:type="spellStart"/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Водоснабжение»организации</w:t>
            </w:r>
            <w:proofErr w:type="spellEnd"/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1.1.6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обеззараживание резервуаров водонапорных башен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сельсоветов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1.1.7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защитных санитарных зон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водопроводный сетей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2.1.1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водопроводный сетей из металла и чугуна на современные полипропиленовые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Администрации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Заринского района, администрации сельсоветов Заринского района, МУП «Водоснабжение»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2.1.2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самовольных подключений к сетям центрального водоснабжения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2.1.3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запорной аппаратуры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Администрации Заринского района, администрации сельсоветов Заринского района МУП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«Водоснабжение»,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2.1.4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профилактические чистки и ремонты действующих колодцев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2.1.5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технического состояния центральных водопроводов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разработка организационных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3.1.1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двухгодичных планов по техническому перевооружению и капитальным ремонтам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3.1.2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разработка инженерных изысканий и проектно-сметной документации на проведение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3.1.3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реальных схем прокладки центрального водопровода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3.1.4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подключения новых потребителей в соответствии с техническими нормами и только ресурсоснабжающей организацией МУП «Водоснабжение» либо под их непосредственным контролем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 предотвращение аварийных ситуаций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4.1.1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и предотвращение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аварийных ситуаций на водозаборных узлах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Администрации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4.1.2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 предотвращение аварийных ситуаций на сетях холодного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Всего требуется на модернизацию и комплексное развитие системы водоснабжения района </w:t>
      </w:r>
      <w:r w:rsidR="000A16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444</w:t>
      </w:r>
      <w:r w:rsidR="00250392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рублей, из них 3540, 0 – местный бюджет и 90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 МУП «Водоснабжение». В таблице по Мероприятиям 1.1.1, 1.1.2 и 2.1.1 закладываемые суммы используются на внесение доли местного бюджета на софинансирование ППМИ и КАИП, остатки расходуются по прямому назначению. Данные по возможному финансированию проектов из краевого и федеральных бюджетов будут вносится при вступлении в какие-либо государственные и региональные программы.</w:t>
      </w: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50A9C" w:rsidSect="00050A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5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коммунальной 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5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(система водоснабжения)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муниципального образования Заринский район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края» на 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2022-2025 годы»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финансовых ресурсов,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 для реализации муниципальной программы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5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развитие системы коммунальной инфраструктуры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(система водоснабжения)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Заринский район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Алтайского края» на 2022-2025 годы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36"/>
        <w:gridCol w:w="1210"/>
        <w:gridCol w:w="1134"/>
        <w:gridCol w:w="1134"/>
        <w:gridCol w:w="1134"/>
        <w:gridCol w:w="1134"/>
      </w:tblGrid>
      <w:tr w:rsidR="00050A9C" w:rsidRPr="00050A9C" w:rsidTr="00050A9C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направления расходов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тыс.руб.</w:t>
            </w:r>
          </w:p>
        </w:tc>
      </w:tr>
      <w:tr w:rsidR="00050A9C" w:rsidRPr="00050A9C" w:rsidTr="00050A9C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50A9C" w:rsidRPr="00050A9C" w:rsidTr="00050A9C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50A9C" w:rsidRPr="00050A9C" w:rsidTr="00050A9C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250392" w:rsidP="002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250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250392" w:rsidP="002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расходы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2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2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C" w:rsidRPr="00050A9C" w:rsidRDefault="00050A9C" w:rsidP="00050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50A9C" w:rsidRPr="00584978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50A9C" w:rsidRPr="00584978" w:rsidSect="00050A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734"/>
    <w:multiLevelType w:val="hybridMultilevel"/>
    <w:tmpl w:val="8D9AD996"/>
    <w:lvl w:ilvl="0" w:tplc="F8AA4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E7B62"/>
    <w:multiLevelType w:val="hybridMultilevel"/>
    <w:tmpl w:val="3D7ADB46"/>
    <w:lvl w:ilvl="0" w:tplc="3B60618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1E"/>
    <w:rsid w:val="00050A9C"/>
    <w:rsid w:val="000A16C9"/>
    <w:rsid w:val="001D4EEE"/>
    <w:rsid w:val="00250392"/>
    <w:rsid w:val="00322A9C"/>
    <w:rsid w:val="00367295"/>
    <w:rsid w:val="003C7122"/>
    <w:rsid w:val="00407921"/>
    <w:rsid w:val="00553C47"/>
    <w:rsid w:val="00584978"/>
    <w:rsid w:val="006536A4"/>
    <w:rsid w:val="00702B1D"/>
    <w:rsid w:val="009242D5"/>
    <w:rsid w:val="00A90267"/>
    <w:rsid w:val="00C36C11"/>
    <w:rsid w:val="00DD5522"/>
    <w:rsid w:val="00DF6BA2"/>
    <w:rsid w:val="00F557D8"/>
    <w:rsid w:val="00F82B90"/>
    <w:rsid w:val="00FA4D1E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6FF2"/>
  <w15:chartTrackingRefBased/>
  <w15:docId w15:val="{E3637D87-F205-441C-9ACD-65F7792F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A4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0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22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2022-05-23T07:13:00Z</cp:lastPrinted>
  <dcterms:created xsi:type="dcterms:W3CDTF">2022-05-17T02:18:00Z</dcterms:created>
  <dcterms:modified xsi:type="dcterms:W3CDTF">2022-05-23T07:15:00Z</dcterms:modified>
</cp:coreProperties>
</file>