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24151F" w:rsidP="0024151F">
      <w:pPr>
        <w:ind w:firstLine="709"/>
        <w:jc w:val="center"/>
        <w:rPr>
          <w:b/>
          <w:sz w:val="28"/>
          <w:szCs w:val="28"/>
        </w:rPr>
      </w:pPr>
      <w:r w:rsidRPr="00211140">
        <w:rPr>
          <w:b/>
          <w:sz w:val="28"/>
          <w:szCs w:val="28"/>
        </w:rPr>
        <w:t>СОВЕТ ДЕПУТАТОВ НОВОЗЫРЯНОВСКОГО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r w:rsidRPr="00211140">
        <w:rPr>
          <w:b/>
          <w:sz w:val="36"/>
          <w:szCs w:val="36"/>
        </w:rPr>
        <w:t>Р Е Ш Е Н И Е</w:t>
      </w:r>
    </w:p>
    <w:p w:rsidR="0024151F" w:rsidRPr="00211140" w:rsidRDefault="0024151F" w:rsidP="0024151F">
      <w:pPr>
        <w:ind w:firstLine="709"/>
        <w:jc w:val="center"/>
        <w:rPr>
          <w:sz w:val="28"/>
          <w:szCs w:val="28"/>
        </w:rPr>
      </w:pPr>
    </w:p>
    <w:p w:rsidR="0024151F" w:rsidRPr="00211140" w:rsidRDefault="0024151F" w:rsidP="0024151F">
      <w:pPr>
        <w:jc w:val="both"/>
        <w:rPr>
          <w:b/>
          <w:sz w:val="26"/>
          <w:szCs w:val="26"/>
        </w:rPr>
      </w:pPr>
      <w:r w:rsidRPr="00211140">
        <w:rPr>
          <w:b/>
          <w:sz w:val="26"/>
          <w:szCs w:val="26"/>
        </w:rPr>
        <w:t xml:space="preserve"> </w:t>
      </w:r>
      <w:r w:rsidR="00B67F52">
        <w:rPr>
          <w:b/>
          <w:sz w:val="26"/>
          <w:szCs w:val="26"/>
        </w:rPr>
        <w:t>19</w:t>
      </w:r>
      <w:r w:rsidRPr="00211140">
        <w:rPr>
          <w:b/>
          <w:sz w:val="26"/>
          <w:szCs w:val="26"/>
        </w:rPr>
        <w:t>.0</w:t>
      </w:r>
      <w:r w:rsidR="00B67F52">
        <w:rPr>
          <w:b/>
          <w:sz w:val="26"/>
          <w:szCs w:val="26"/>
        </w:rPr>
        <w:t>7</w:t>
      </w:r>
      <w:r w:rsidRPr="00211140">
        <w:rPr>
          <w:b/>
          <w:sz w:val="26"/>
          <w:szCs w:val="26"/>
        </w:rPr>
        <w:t xml:space="preserve">.2019   </w:t>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t xml:space="preserve">№ </w:t>
      </w:r>
      <w:r w:rsidR="00B67F52">
        <w:rPr>
          <w:b/>
          <w:sz w:val="26"/>
          <w:szCs w:val="26"/>
        </w:rPr>
        <w:t>29</w:t>
      </w:r>
      <w:r w:rsidRPr="00211140">
        <w:rPr>
          <w:b/>
          <w:sz w:val="26"/>
          <w:szCs w:val="26"/>
        </w:rPr>
        <w:t xml:space="preserve"> </w:t>
      </w:r>
    </w:p>
    <w:p w:rsidR="0024151F" w:rsidRDefault="0024151F" w:rsidP="0024151F">
      <w:pPr>
        <w:jc w:val="center"/>
        <w:rPr>
          <w:b/>
        </w:rPr>
      </w:pPr>
      <w:r w:rsidRPr="00211140">
        <w:rPr>
          <w:b/>
        </w:rPr>
        <w:t>с. Новозыряново</w:t>
      </w:r>
    </w:p>
    <w:p w:rsidR="0024151F" w:rsidRDefault="0024151F" w:rsidP="0024151F">
      <w:pPr>
        <w:jc w:val="center"/>
        <w:rPr>
          <w:sz w:val="26"/>
          <w:szCs w:val="26"/>
        </w:rPr>
      </w:pPr>
    </w:p>
    <w:p w:rsidR="0024151F" w:rsidRDefault="0024151F" w:rsidP="0024151F">
      <w:pPr>
        <w:jc w:val="both"/>
        <w:rPr>
          <w:bCs/>
          <w:sz w:val="26"/>
          <w:szCs w:val="26"/>
        </w:rPr>
      </w:pPr>
      <w:r>
        <w:rPr>
          <w:bCs/>
          <w:sz w:val="26"/>
          <w:szCs w:val="26"/>
        </w:rPr>
        <w:tab/>
      </w: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r>
        <w:rPr>
          <w:sz w:val="26"/>
          <w:szCs w:val="26"/>
        </w:rPr>
        <w:t>Новозыряновский</w:t>
      </w:r>
      <w:r w:rsidRPr="00033007">
        <w:rPr>
          <w:sz w:val="26"/>
          <w:szCs w:val="26"/>
        </w:rPr>
        <w:t xml:space="preserve"> сельсовет</w:t>
      </w:r>
      <w:r>
        <w:rPr>
          <w:sz w:val="26"/>
          <w:szCs w:val="26"/>
        </w:rPr>
        <w:t xml:space="preserve"> Заринского</w:t>
      </w:r>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Совет депутатов</w:t>
      </w:r>
      <w:r>
        <w:rPr>
          <w:sz w:val="26"/>
          <w:szCs w:val="26"/>
        </w:rPr>
        <w:t xml:space="preserve"> Новозыряновского сельсовета</w:t>
      </w:r>
    </w:p>
    <w:p w:rsidR="0024151F" w:rsidRPr="00033007" w:rsidRDefault="0024151F" w:rsidP="0024151F">
      <w:pPr>
        <w:jc w:val="both"/>
        <w:rPr>
          <w:sz w:val="26"/>
          <w:szCs w:val="26"/>
        </w:rPr>
      </w:pPr>
      <w:r w:rsidRPr="007876CD">
        <w:rPr>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24151F">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на </w:t>
      </w:r>
      <w:r w:rsidRPr="00211140">
        <w:rPr>
          <w:sz w:val="26"/>
          <w:szCs w:val="26"/>
          <w:lang w:val="en-US"/>
        </w:rPr>
        <w:t>Web</w:t>
      </w:r>
      <w:r w:rsidRPr="00211140">
        <w:rPr>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 </w:t>
      </w:r>
    </w:p>
    <w:p w:rsidR="0024151F" w:rsidRDefault="0024151F" w:rsidP="0024151F">
      <w:pPr>
        <w:rPr>
          <w:sz w:val="26"/>
          <w:szCs w:val="28"/>
        </w:rPr>
      </w:pPr>
      <w:r>
        <w:rPr>
          <w:sz w:val="26"/>
          <w:szCs w:val="28"/>
        </w:rPr>
        <w:t xml:space="preserve">         3.  Контроль за исполнением  настоящего решения возложить на постоянную комиссию Совета депутатов Новозыряновского сельсовета  по бюджету, планированию, налоговой и социальной политике.</w:t>
      </w:r>
      <w:r>
        <w:rPr>
          <w:sz w:val="26"/>
          <w:szCs w:val="28"/>
        </w:rPr>
        <w:tab/>
      </w:r>
    </w:p>
    <w:p w:rsidR="0024151F" w:rsidRDefault="0024151F" w:rsidP="0024151F">
      <w:pPr>
        <w:rPr>
          <w:sz w:val="26"/>
          <w:szCs w:val="28"/>
        </w:rPr>
      </w:pPr>
    </w:p>
    <w:p w:rsidR="0024151F" w:rsidRDefault="0024151F" w:rsidP="0024151F">
      <w:pPr>
        <w:rPr>
          <w:sz w:val="26"/>
          <w:szCs w:val="28"/>
        </w:rPr>
      </w:pPr>
      <w:r>
        <w:rPr>
          <w:sz w:val="26"/>
          <w:szCs w:val="28"/>
        </w:rPr>
        <w:t xml:space="preserve"> </w:t>
      </w:r>
    </w:p>
    <w:p w:rsidR="0024151F" w:rsidRDefault="0024151F" w:rsidP="0024151F">
      <w:pPr>
        <w:rPr>
          <w:sz w:val="26"/>
          <w:szCs w:val="28"/>
        </w:rPr>
      </w:pPr>
    </w:p>
    <w:p w:rsidR="0024151F" w:rsidRDefault="0024151F" w:rsidP="0024151F">
      <w:pPr>
        <w:ind w:left="5040"/>
      </w:pPr>
    </w:p>
    <w:p w:rsidR="0024151F" w:rsidRDefault="0024151F" w:rsidP="0024151F">
      <w:pPr>
        <w:jc w:val="both"/>
        <w:rPr>
          <w:sz w:val="26"/>
          <w:szCs w:val="26"/>
        </w:rPr>
      </w:pPr>
      <w:r>
        <w:rPr>
          <w:sz w:val="26"/>
          <w:szCs w:val="26"/>
        </w:rPr>
        <w:t xml:space="preserve">                                                                                                                                                                                                                                                                                                                 Глава сельсовета                                                                     А.Н. </w:t>
      </w:r>
      <w:proofErr w:type="spellStart"/>
      <w:r>
        <w:rPr>
          <w:sz w:val="26"/>
          <w:szCs w:val="26"/>
        </w:rPr>
        <w:t>Дошлова</w:t>
      </w:r>
      <w:proofErr w:type="spellEnd"/>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Pr="00033007" w:rsidRDefault="0024151F" w:rsidP="0024151F">
      <w:pPr>
        <w:rPr>
          <w:sz w:val="26"/>
          <w:szCs w:val="26"/>
        </w:rPr>
      </w:pPr>
    </w:p>
    <w:p w:rsidR="0024151F" w:rsidRDefault="0024151F"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Новозыряновского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B67F52">
        <w:rPr>
          <w:sz w:val="26"/>
          <w:szCs w:val="26"/>
        </w:rPr>
        <w:t>19</w:t>
      </w:r>
      <w:r>
        <w:rPr>
          <w:sz w:val="26"/>
          <w:szCs w:val="26"/>
        </w:rPr>
        <w:t>.0</w:t>
      </w:r>
      <w:r w:rsidR="00B67F52">
        <w:rPr>
          <w:sz w:val="26"/>
          <w:szCs w:val="26"/>
        </w:rPr>
        <w:t>7</w:t>
      </w:r>
      <w:r>
        <w:rPr>
          <w:sz w:val="26"/>
          <w:szCs w:val="26"/>
        </w:rPr>
        <w:t>.</w:t>
      </w:r>
      <w:r w:rsidRPr="007876CD">
        <w:rPr>
          <w:sz w:val="26"/>
          <w:szCs w:val="26"/>
        </w:rPr>
        <w:t>201</w:t>
      </w:r>
      <w:r>
        <w:rPr>
          <w:sz w:val="26"/>
          <w:szCs w:val="26"/>
        </w:rPr>
        <w:t xml:space="preserve">9 </w:t>
      </w:r>
      <w:r w:rsidRPr="007876CD">
        <w:rPr>
          <w:sz w:val="26"/>
          <w:szCs w:val="26"/>
        </w:rPr>
        <w:t xml:space="preserve">г.  №  </w:t>
      </w:r>
      <w:r w:rsidR="00B67F52">
        <w:rPr>
          <w:sz w:val="26"/>
          <w:szCs w:val="26"/>
        </w:rPr>
        <w:t>29</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540531" w:rsidRPr="00121271" w:rsidRDefault="0024151F" w:rsidP="0024151F">
      <w:pPr>
        <w:pStyle w:val="1"/>
        <w:spacing w:before="0" w:after="0"/>
        <w:rPr>
          <w:color w:val="000000"/>
          <w:sz w:val="26"/>
          <w:szCs w:val="26"/>
        </w:rPr>
      </w:pPr>
      <w:r w:rsidRPr="00121271">
        <w:rPr>
          <w:color w:val="000000"/>
          <w:sz w:val="26"/>
          <w:szCs w:val="26"/>
        </w:rPr>
        <w:t xml:space="preserve">муниципального образования Новозыряновский сельсовет Заринского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r w:rsidR="00540531" w:rsidRPr="00121271">
        <w:rPr>
          <w:color w:val="000000"/>
          <w:sz w:val="26"/>
          <w:szCs w:val="26"/>
        </w:rPr>
        <w:t>Новозыряновский сельсовет Заринского</w:t>
      </w:r>
      <w:r w:rsidRPr="00121271">
        <w:rPr>
          <w:color w:val="000000"/>
          <w:sz w:val="26"/>
          <w:szCs w:val="26"/>
        </w:rPr>
        <w:t xml:space="preserve"> района Алтайского края </w:t>
      </w:r>
    </w:p>
    <w:p w:rsidR="0024151F" w:rsidRPr="007C649C" w:rsidRDefault="0024151F" w:rsidP="0024151F">
      <w:pPr>
        <w:pStyle w:val="1"/>
        <w:spacing w:before="0" w:after="0"/>
        <w:rPr>
          <w:b w:val="0"/>
          <w:color w:val="000000"/>
          <w:sz w:val="26"/>
          <w:szCs w:val="26"/>
        </w:rPr>
      </w:pPr>
      <w:r w:rsidRPr="00121271">
        <w:rPr>
          <w:color w:val="000000"/>
          <w:sz w:val="26"/>
          <w:szCs w:val="26"/>
        </w:rPr>
        <w:t>без объявления цены</w:t>
      </w:r>
    </w:p>
    <w:p w:rsidR="0024151F" w:rsidRPr="00540531" w:rsidRDefault="0024151F" w:rsidP="0024151F">
      <w:pPr>
        <w:pStyle w:val="1"/>
        <w:rPr>
          <w:color w:val="000000"/>
          <w:sz w:val="26"/>
          <w:szCs w:val="26"/>
        </w:rPr>
      </w:pPr>
      <w:bookmarkStart w:id="0" w:name="sub_2100"/>
      <w:r w:rsidRPr="00540531">
        <w:rPr>
          <w:color w:val="000000"/>
          <w:sz w:val="26"/>
          <w:szCs w:val="26"/>
        </w:rPr>
        <w:t>I.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 Новозыряновский сельсовет Заринского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муниципального образования Новозыряновский сельсовет Заринского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муниципального образования Новозыряновский сельсовет Заринского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lastRenderedPageBreak/>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
    <w:p w:rsidR="0024151F" w:rsidRPr="00F171BE" w:rsidRDefault="0024151F" w:rsidP="0024151F">
      <w:pPr>
        <w:ind w:firstLine="720"/>
        <w:jc w:val="both"/>
        <w:rPr>
          <w:sz w:val="26"/>
          <w:szCs w:val="26"/>
        </w:rPr>
      </w:pPr>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lastRenderedPageBreak/>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 xml:space="preserve">2.4. Принятые заявки и предложения о цене приобретения имущества сотрудник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proofErr w:type="spellStart"/>
      <w:r w:rsidR="00121271">
        <w:rPr>
          <w:b/>
          <w:color w:val="000000"/>
          <w:sz w:val="26"/>
          <w:szCs w:val="26"/>
          <w:lang w:val="en-US"/>
        </w:rPr>
        <w:t>i</w:t>
      </w:r>
      <w:proofErr w:type="spellEnd"/>
      <w:r w:rsidRPr="00EC35F1">
        <w:rPr>
          <w:b/>
          <w:color w:val="000000"/>
          <w:sz w:val="26"/>
          <w:szCs w:val="26"/>
        </w:rPr>
        <w:t>. 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муниципального образования Новозыряновский сельсовет Заринского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г) сведения о рассмотренных предложениях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lastRenderedPageBreak/>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муниципального образования Новозыряновский сельсовет Заринского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-странице администрации Новозыряновского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муниципального образования Новозыряновский сельсовет Заринского района Алтайского края</w:t>
      </w:r>
      <w:r w:rsidRPr="00290895">
        <w:rPr>
          <w:color w:val="000000"/>
          <w:sz w:val="26"/>
          <w:szCs w:val="26"/>
        </w:rPr>
        <w:t xml:space="preserve"> порядок и сроки перечисления денежных средств в счет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4151F"/>
    <w:rsid w:val="00121271"/>
    <w:rsid w:val="001A4F7C"/>
    <w:rsid w:val="0024151F"/>
    <w:rsid w:val="00282941"/>
    <w:rsid w:val="00540531"/>
    <w:rsid w:val="005E2F80"/>
    <w:rsid w:val="008531BF"/>
    <w:rsid w:val="0087387D"/>
    <w:rsid w:val="00890DEE"/>
    <w:rsid w:val="00B67F52"/>
    <w:rsid w:val="00EC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2019-06-07T05:22:00Z</dcterms:created>
  <dcterms:modified xsi:type="dcterms:W3CDTF">2019-07-09T02:57:00Z</dcterms:modified>
</cp:coreProperties>
</file>